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Unit 1204, Ayala Center Makati Tower</w:t>
      </w:r>
    </w:p>
    <w:p>
      <w:pPr>
        <w:pStyle w:val="BodyText"/>
      </w:pPr>
      <w:r>
        <w:t xml:space="preserve">1200 Philippines Manila, Metro Manila</w:t>
      </w:r>
    </w:p>
    <w:p>
      <w:pPr>
        <w:pStyle w:val="BodyText"/>
      </w:pPr>
      <w:r>
        <w:t xml:space="preserve">Tel: +63 (2) 8888-4521 | Email: billing@pixelcraftdesign.ph</w:t>
      </w:r>
    </w:p>
    <w:p>
      <w:pPr>
        <w:pStyle w:val="BodyText"/>
      </w:pPr>
      <w:r>
        <w:t xml:space="preserve">TIN: 201-456-789-000 | BIR-Registered</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PC-2025-00472</w:t>
      </w:r>
    </w:p>
    <w:p>
      <w:pPr>
        <w:pStyle w:val="BodyText"/>
      </w:pPr>
      <w:r>
        <w:t xml:space="preserve">Date Issued: June 15, 2025</w:t>
      </w:r>
    </w:p>
    <w:p>
      <w:pPr>
        <w:pStyle w:val="BodyText"/>
      </w:pPr>
      <w:r>
        <w:t xml:space="preserve">Due Date: July 15,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Sunrise Marketing Solutions Inc.</w:t>
      </w:r>
    </w:p>
    <w:p>
      <w:pPr>
        <w:pStyle w:val="BodyText"/>
      </w:pPr>
      <w:r>
        <w:rPr>
          <w:bCs/>
          <w:b/>
        </w:rPr>
        <w:t xml:space="preserve">Address:</w:t>
      </w:r>
      <w:r>
        <w:t xml:space="preserve"> </w:t>
      </w:r>
      <w:r>
        <w:t xml:space="preserve">888 Bonifacio High Street, BGC</w:t>
      </w:r>
    </w:p>
    <w:p>
      <w:pPr>
        <w:pStyle w:val="BodyText"/>
      </w:pPr>
      <w:r>
        <w:rPr>
          <w:bCs/>
          <w:b/>
        </w:rPr>
        <w:t xml:space="preserve">Philippines Manila, Taguig City 1634</w:t>
      </w:r>
    </w:p>
    <w:p>
      <w:pPr>
        <w:pStyle w:val="BodyText"/>
      </w:pPr>
      <w:r>
        <w:rPr>
          <w:bCs/>
          <w:b/>
        </w:rPr>
        <w:t xml:space="preserve">Contact:</w:t>
      </w:r>
      <w:r>
        <w:t xml:space="preserve"> </w:t>
      </w:r>
      <w:r>
        <w:t xml:space="preserve">Ms. Ana Reyes, Marketing Director</w:t>
      </w:r>
    </w:p>
    <w:p>
      <w:pPr>
        <w:pStyle w:val="BodyText"/>
      </w:pPr>
      <w:r>
        <w:rPr>
          <w:bCs/>
          <w:b/>
        </w:rPr>
        <w:t xml:space="preserve">Email:</w:t>
      </w:r>
      <w:r>
        <w:t xml:space="preserve"> </w:t>
      </w:r>
      <w:r>
        <w:t xml:space="preserve">ana.reyes@sunrisemarketing.ph</w:t>
      </w:r>
    </w:p>
    <w:p>
      <w:pPr>
        <w:pStyle w:val="BodyText"/>
      </w:pPr>
      <w:r>
        <w:rPr>
          <w:bCs/>
          <w:b/>
        </w:rPr>
        <w:t xml:space="preserve">TIN:</w:t>
      </w:r>
      <w:r>
        <w:t xml:space="preserve"> </w:t>
      </w:r>
      <w:r>
        <w:t xml:space="preserve">198-765-432-000</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Graphic Designer – Full Creative Package</w:t>
      </w:r>
    </w:p>
    <w:p>
      <w:pPr>
        <w:pStyle w:val="BodyText"/>
      </w:pPr>
      <w:r>
        <w:rPr>
          <w:bCs/>
          <w:b/>
        </w:rPr>
        <w:t xml:space="preserve">Project Reference:</w:t>
      </w:r>
      <w:r>
        <w:t xml:space="preserve"> </w:t>
      </w:r>
      <w:r>
        <w:t xml:space="preserve">Q3 Brand Identity Overhaul</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p>
      <w:pPr>
        <w:pStyle w:val="BodyText"/>
      </w:pPr>
      <w:r>
        <w:rPr>
          <w:bCs/>
          <w:b/>
        </w:rPr>
        <w:t xml:space="preserve">Issued In:</w:t>
      </w:r>
      <w:r>
        <w:t xml:space="preserve"> </w:t>
      </w:r>
      <w:r>
        <w:t xml:space="preserve">Philippines Manila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Brand Identity Redesign – Complete logo development, color palette, typography system, and brand guidelines document prepared by our senior Graphic Designer</w:t>
            </w:r>
          </w:p>
        </w:tc>
        <w:tc>
          <w:tcPr/>
          <w:p>
            <w:pPr>
              <w:pStyle w:val="Compact"/>
              <w:jc w:val="left"/>
            </w:pPr>
            <w:r>
              <w:t xml:space="preserve">Logo Suite + Brand Book</w:t>
            </w:r>
          </w:p>
        </w:tc>
        <w:tc>
          <w:tcPr/>
          <w:p>
            <w:pPr>
              <w:pStyle w:val="Compact"/>
              <w:jc w:val="left"/>
            </w:pPr>
            <w:r>
              <w:t xml:space="preserve">48</w:t>
            </w:r>
          </w:p>
        </w:tc>
        <w:tc>
          <w:tcPr/>
          <w:p>
            <w:pPr>
              <w:pStyle w:val="Compact"/>
              <w:jc w:val="left"/>
            </w:pPr>
            <w:r>
              <w:t xml:space="preserve">1,800.00</w:t>
            </w:r>
          </w:p>
        </w:tc>
        <w:tc>
          <w:tcPr/>
          <w:p>
            <w:pPr>
              <w:pStyle w:val="Compact"/>
              <w:jc w:val="left"/>
            </w:pPr>
            <w:r>
              <w:t xml:space="preserve">86,400.00</w:t>
            </w:r>
          </w:p>
        </w:tc>
      </w:tr>
      <w:tr>
        <w:tc>
          <w:tcPr/>
          <w:p>
            <w:pPr>
              <w:pStyle w:val="Compact"/>
              <w:jc w:val="left"/>
            </w:pPr>
            <w:r>
              <w:t xml:space="preserve">2</w:t>
            </w:r>
          </w:p>
        </w:tc>
        <w:tc>
          <w:tcPr/>
          <w:p>
            <w:pPr>
              <w:pStyle w:val="Compact"/>
              <w:jc w:val="left"/>
            </w:pPr>
            <w:r>
              <w:t xml:space="preserve">Marketing Collateral Design – Design of brochures, business cards, letterheads, and presentation templates as part of the Graphic Designer engagement</w:t>
            </w:r>
          </w:p>
        </w:tc>
        <w:tc>
          <w:tcPr/>
          <w:p>
            <w:pPr>
              <w:pStyle w:val="Compact"/>
              <w:jc w:val="left"/>
            </w:pPr>
            <w:r>
              <w:t xml:space="preserve">Print-Ready Files (PDF/AI)</w:t>
            </w:r>
          </w:p>
        </w:tc>
        <w:tc>
          <w:tcPr/>
          <w:p>
            <w:pPr>
              <w:pStyle w:val="Compact"/>
              <w:jc w:val="left"/>
            </w:pPr>
            <w:r>
              <w:t xml:space="preserve">32</w:t>
            </w:r>
          </w:p>
        </w:tc>
        <w:tc>
          <w:tcPr/>
          <w:p>
            <w:pPr>
              <w:pStyle w:val="Compact"/>
              <w:jc w:val="left"/>
            </w:pPr>
            <w:r>
              <w:t xml:space="preserve">1,500.00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Digital &amp; Social Media Creative – Design of 24 social media ad creatives, email newsletter templates, and web banner set by the assigned Graphic Designer</w:t>
            </w:r>
          </w:p>
        </w:tc>
        <w:tc>
          <w:tcPr/>
          <w:p>
            <w:pPr>
              <w:pStyle w:val="Compact"/>
              <w:jc w:val="left"/>
            </w:pPr>
            <w:r>
              <w:t xml:space="preserve">Digital Assets (PNG/JPG/PSD)</w:t>
            </w:r>
          </w:p>
        </w:tc>
        <w:tc>
          <w:tcPr/>
          <w:p>
            <w:pPr>
              <w:pStyle w:val="Compact"/>
              <w:jc w:val="left"/>
            </w:pPr>
            <w:r>
              <w:t xml:space="preserve">28</w:t>
            </w:r>
          </w:p>
        </w:tc>
        <w:tc>
          <w:tcPr/>
          <w:p>
            <w:pPr>
              <w:pStyle w:val="Compact"/>
              <w:jc w:val="left"/>
            </w:pPr>
            <w:r>
              <w:t xml:space="preserve">1,500.00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Packaging &amp; Label Design – Product packaging mockups, label artwork, and dieline preparation for three (3) product SKUs</w:t>
            </w:r>
          </w:p>
        </w:tc>
        <w:tc>
          <w:tcPr/>
          <w:p>
            <w:pPr>
              <w:pStyle w:val="Compact"/>
              <w:jc w:val="left"/>
            </w:pPr>
            <w:r>
              <w:t xml:space="preserve">Packaging Artwork Files</w:t>
            </w:r>
          </w:p>
        </w:tc>
        <w:tc>
          <w:tcPr/>
          <w:p>
            <w:pPr>
              <w:pStyle w:val="Compact"/>
              <w:jc w:val="left"/>
            </w:pPr>
            <w:r>
              <w:t xml:space="preserve">24</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5</w:t>
            </w:r>
          </w:p>
        </w:tc>
        <w:tc>
          <w:tcPr/>
          <w:p>
            <w:pPr>
              <w:pStyle w:val="Compact"/>
              <w:jc w:val="left"/>
            </w:pPr>
            <w:r>
              <w:t xml:space="preserve">Revisions &amp; Final Delivery – Up to three (3) rounds of revisions per deliverable, final file handoff, and source file organization managed by the Graphic Designer team</w:t>
            </w:r>
          </w:p>
        </w:tc>
        <w:tc>
          <w:tcPr/>
          <w:p>
            <w:pPr>
              <w:pStyle w:val="Compact"/>
              <w:jc w:val="left"/>
            </w:pPr>
            <w:r>
              <w:t xml:space="preserve">Final Approved Assets</w:t>
            </w:r>
          </w:p>
        </w:tc>
        <w:tc>
          <w:tcPr/>
          <w:p>
            <w:pPr>
              <w:pStyle w:val="Compact"/>
              <w:jc w:val="left"/>
            </w:pPr>
            <w:r>
              <w:t xml:space="preserve">16</w:t>
            </w:r>
          </w:p>
        </w:tc>
        <w:tc>
          <w:tcPr/>
          <w:p>
            <w:pPr>
              <w:pStyle w:val="Compact"/>
              <w:jc w:val="left"/>
            </w:pPr>
            <w:r>
              <w:t xml:space="preserve">1,200.00</w:t>
            </w:r>
          </w:p>
        </w:tc>
        <w:tc>
          <w:tcPr/>
          <w:p>
            <w:pPr>
              <w:pStyle w:val="Compact"/>
              <w:jc w:val="left"/>
            </w:pPr>
            <w:r>
              <w:t xml:space="preserve">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238,800.00</w:t>
            </w:r>
          </w:p>
        </w:tc>
      </w:tr>
      <w:tr>
        <w:tc>
          <w:tcPr/>
          <w:p>
            <w:pPr>
              <w:pStyle w:val="Compact"/>
              <w:jc w:val="left"/>
            </w:pPr>
            <w:r>
              <w:t xml:space="preserve">VAT (12% – BIR Compliant, Philippines Manila)</w:t>
            </w:r>
          </w:p>
        </w:tc>
        <w:tc>
          <w:tcPr/>
          <w:p>
            <w:pPr>
              <w:pStyle w:val="Compact"/>
              <w:jc w:val="left"/>
            </w:pPr>
            <w:r>
              <w:t xml:space="preserve">PHP 28,656.00</w:t>
            </w:r>
          </w:p>
        </w:tc>
      </w:tr>
      <w:tr>
        <w:tc>
          <w:tcPr/>
          <w:p>
            <w:pPr>
              <w:pStyle w:val="Compact"/>
              <w:jc w:val="left"/>
            </w:pPr>
            <w:r>
              <w:t xml:space="preserve">Discount (Early Payment – 5%)</w:t>
            </w:r>
          </w:p>
        </w:tc>
        <w:tc>
          <w:tcPr/>
          <w:p>
            <w:pPr>
              <w:pStyle w:val="Compact"/>
              <w:jc w:val="left"/>
            </w:pPr>
            <w:r>
              <w:t xml:space="preserve">- PHP 11,940.00</w:t>
            </w:r>
          </w:p>
        </w:tc>
      </w:tr>
      <w:tr>
        <w:tc>
          <w:tcPr/>
          <w:p>
            <w:pPr>
              <w:pStyle w:val="Compact"/>
              <w:jc w:val="left"/>
            </w:pPr>
            <w:r>
              <w:t xml:space="preserve">TOTAL DUE</w:t>
            </w:r>
          </w:p>
        </w:tc>
        <w:tc>
          <w:tcPr/>
          <w:p>
            <w:pPr>
              <w:pStyle w:val="Compact"/>
              <w:jc w:val="left"/>
            </w:pPr>
            <w:r>
              <w:t xml:space="preserve">PHP 255,516.00</w:t>
            </w:r>
          </w:p>
        </w:tc>
      </w:tr>
    </w:tbl>
    <w:bookmarkStart w:id="24" w:name="payment-instructions-philippines-manila"/>
    <w:p>
      <w:pPr>
        <w:pStyle w:val="Heading3"/>
      </w:pPr>
      <w:r>
        <w:t xml:space="preserve">Payment Instructions – Philippines Manila</w:t>
      </w:r>
    </w:p>
    <w:p>
      <w:pPr>
        <w:pStyle w:val="FirstParagraph"/>
      </w:pPr>
      <w:r>
        <w:rPr>
          <w:bCs/>
          <w:b/>
        </w:rPr>
        <w:t xml:space="preserve">Bank:</w:t>
      </w:r>
      <w:r>
        <w:t xml:space="preserve"> </w:t>
      </w:r>
      <w:r>
        <w:t xml:space="preserve">BDO Unibank, Inc. – Makati Branch, Philippines Manila</w:t>
      </w:r>
    </w:p>
    <w:p>
      <w:pPr>
        <w:pStyle w:val="BodyText"/>
      </w:pPr>
      <w:r>
        <w:rPr>
          <w:bCs/>
          <w:b/>
        </w:rPr>
        <w:t xml:space="preserve">Account Name:</w:t>
      </w:r>
      <w:r>
        <w:t xml:space="preserve"> </w:t>
      </w:r>
      <w:r>
        <w:t xml:space="preserve">PixelCraft Design Studio</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BDOUPHMM</w:t>
      </w:r>
    </w:p>
    <w:p>
      <w:pPr>
        <w:pStyle w:val="BodyText"/>
      </w:pPr>
      <w:r>
        <w:rPr>
          <w:bCs/>
          <w:b/>
        </w:rPr>
        <w:t xml:space="preserve">Reference No.:</w:t>
      </w:r>
      <w:r>
        <w:t xml:space="preserve"> </w:t>
      </w:r>
      <w:r>
        <w:t xml:space="preserve">PC-2025-00472</w:t>
      </w:r>
    </w:p>
    <w:p>
      <w:pPr>
        <w:pStyle w:val="BodyText"/>
      </w:pPr>
      <w:r>
        <w:rPr>
          <w:bCs/>
          <w:b/>
        </w:rPr>
        <w:t xml:space="preserve">Accepted Payment Methods:</w:t>
      </w:r>
      <w:r>
        <w:t xml:space="preserve"> </w:t>
      </w:r>
      <w:r>
        <w:t xml:space="preserve">Bank Transfer (PESONet / InstaPay), Check (Post-Dated), Online Payment (GCash Business, Maya)</w:t>
      </w:r>
    </w:p>
    <w:p>
      <w:pPr>
        <w:pStyle w:val="BodyText"/>
      </w:pPr>
      <w:r>
        <w:rPr>
          <w:bCs/>
          <w:b/>
        </w:rPr>
        <w:t xml:space="preserve">Note:</w:t>
      </w:r>
      <w:r>
        <w:t xml:space="preserve"> </w:t>
      </w:r>
      <w:r>
        <w:t xml:space="preserve">Please include the Invoice number in your payment reference. All payments are processed in Philippine Pesos (PHP) at our Philippines Manila office.</w:t>
      </w:r>
    </w:p>
    <w:bookmarkEnd w:id="24"/>
    <w:bookmarkStart w:id="25" w:name="notes-terms-of-service"/>
    <w:p>
      <w:pPr>
        <w:pStyle w:val="Heading3"/>
      </w:pPr>
      <w:r>
        <w:t xml:space="preserve">Notes &amp; Terms of Service</w:t>
      </w:r>
    </w:p>
    <w:p>
      <w:pPr>
        <w:pStyle w:val="FirstParagraph"/>
      </w:pPr>
      <w:r>
        <w:t xml:space="preserve">1. This Invoice is issued by PixelCraft Design Studio, a registered Graphic Designer service provider operating in Philippines Manila, in compliance with the Bureau of Internal Revenue (BIR) regulations of the Republic of the Philippines.</w:t>
      </w:r>
    </w:p>
    <w:p>
      <w:pPr>
        <w:pStyle w:val="BodyText"/>
      </w:pPr>
      <w:r>
        <w:t xml:space="preserve">2. All Graphic Designer deliverables listed in this Invoice are subject to the final approval process. Ownership of all design assets transfers to the client upon full and final payment of this Invoice.</w:t>
      </w:r>
    </w:p>
    <w:p>
      <w:pPr>
        <w:pStyle w:val="BodyText"/>
      </w:pPr>
      <w:r>
        <w:t xml:space="preserve">3. Payment is due within thirty (30) calendar days from the date of issuance. A late payment penalty of 1.5% per month will be applied to any outstanding balance beyond the due date, in accordance with Philippine commercial law.</w:t>
      </w:r>
    </w:p>
    <w:p>
      <w:pPr>
        <w:pStyle w:val="BodyText"/>
      </w:pPr>
      <w:r>
        <w:t xml:space="preserve">4. Any additional revisions beyond the three (3) included rounds will be billed separately at the standard Graphic Designer hourly rate of PHP 1,500.00 per hour.</w:t>
      </w:r>
    </w:p>
    <w:p>
      <w:pPr>
        <w:pStyle w:val="BodyText"/>
      </w:pPr>
      <w:r>
        <w:t xml:space="preserve">5. This Invoice is valid for sixty (60) days from the date of issue. After this period, the rates and terms may be subject to revision.</w:t>
      </w:r>
    </w:p>
    <w:p>
      <w:pPr>
        <w:pStyle w:val="BodyText"/>
      </w:pPr>
      <w:r>
        <w:t xml:space="preserve">6. All services rendered by our Graphic Designer team are performed in Philippines Manila and are governed by the laws of the Republic of the Philippines. Any disputes arising from this Invoice shall be resolved through the courts of competent jurisdiction in Metro Manila, Philippines.</w:t>
      </w:r>
    </w:p>
    <w:p>
      <w:pPr>
        <w:pStyle w:val="BodyText"/>
      </w:pPr>
      <w:r>
        <w:t xml:space="preserve">7. Please retain this Invoice for your company's tax records. An official BIR-registered Official Receipt (OR) will be issued upon confirmation of payment receipt.</w:t>
      </w:r>
    </w:p>
    <w:bookmarkEnd w:id="25"/>
    <w:p>
      <w:pPr>
        <w:pStyle w:val="BodyText"/>
      </w:pPr>
      <w:r>
        <w:rPr>
          <w:bCs/>
          <w:b/>
        </w:rPr>
        <w:t xml:space="preserve">PixelCraft Design Studio</w:t>
      </w:r>
      <w:r>
        <w:t xml:space="preserve"> </w:t>
      </w:r>
      <w:r>
        <w:t xml:space="preserve">– Professional Graphic Designer Services in Philippines Manila</w:t>
      </w:r>
    </w:p>
    <w:p>
      <w:pPr>
        <w:pStyle w:val="BodyText"/>
      </w:pPr>
      <w:r>
        <w:t xml:space="preserve">Unit 1204, Ayala Center Makati Tower, 1200 Philippines Manila, Metro Manila, Philippines</w:t>
      </w:r>
    </w:p>
    <w:p>
      <w:pPr>
        <w:pStyle w:val="BodyText"/>
      </w:pPr>
      <w:r>
        <w:t xml:space="preserve">Tel: +63 (2) 8888-4521 | Email: billing@pixelcraftdesign.ph | Website: www.pixelcraftdesign.ph</w:t>
      </w:r>
    </w:p>
    <w:p>
      <w:pPr>
        <w:pStyle w:val="BodyText"/>
      </w:pPr>
      <w:r>
        <w:t xml:space="preserve">Thank you for choosing our Graphic Designer services. We appreciate your business and look forward to continuing our creative partnership in Philippines Manila.</w:t>
      </w:r>
    </w:p>
    <w:p>
      <w:pPr>
        <w:pStyle w:val="BodyText"/>
      </w:pPr>
      <w:r>
        <w:t xml:space="preserve">This is a computer-generated Invoice. No signature is required. Invoice No: PC-2025-00472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Philippines Manila</dc:title>
  <dc:creator/>
  <dc:language>en</dc:language>
  <cp:keywords/>
  <dcterms:created xsi:type="dcterms:W3CDTF">2026-10-10T07:29:13Z</dcterms:created>
  <dcterms:modified xsi:type="dcterms:W3CDTF">2026-10-10T07:29:13Z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