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Russia</w:t>
      </w:r>
      <w:r>
        <w:t xml:space="preserve"> </w:t>
      </w:r>
      <w:r>
        <w:t xml:space="preserve">Saint</w:t>
      </w:r>
      <w:r>
        <w:t xml:space="preserve"> </w:t>
      </w:r>
      <w:r>
        <w:t xml:space="preserve">Petersburg</w:t>
      </w:r>
    </w:p>
    <w:bookmarkStart w:id="20" w:name="invoice"/>
    <w:p>
      <w:pPr>
        <w:pStyle w:val="Heading1"/>
      </w:pPr>
      <w:r>
        <w:t xml:space="preserve">INVOICE</w:t>
      </w:r>
    </w:p>
    <w:p>
      <w:pPr>
        <w:pStyle w:val="FirstParagraph"/>
      </w:pPr>
      <w:r>
        <w:t xml:space="preserve">Professional Graphic Design Services</w:t>
      </w:r>
    </w:p>
    <w:p>
      <w:pPr>
        <w:pStyle w:val="BodyText"/>
      </w:pPr>
      <w:r>
        <w:t xml:space="preserve">Russia Saint Petersburg — Design &amp; Creative Solutions</w:t>
      </w:r>
    </w:p>
    <w:bookmarkEnd w:id="20"/>
    <w:bookmarkStart w:id="21" w:name="invoice-details"/>
    <w:p>
      <w:pPr>
        <w:pStyle w:val="Heading3"/>
      </w:pPr>
      <w:r>
        <w:t xml:space="preserve">Invoice Details</w:t>
      </w:r>
    </w:p>
    <w:p>
      <w:pPr>
        <w:pStyle w:val="FirstParagraph"/>
      </w:pPr>
      <w:r>
        <w:rPr>
          <w:bCs/>
          <w:b/>
        </w:rPr>
        <w:t xml:space="preserve">Invoice Number:</w:t>
      </w:r>
      <w:r>
        <w:t xml:space="preserve"> </w:t>
      </w:r>
      <w:r>
        <w:t xml:space="preserve">INV-SPB-2025-0472</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t xml:space="preserve">Pending Payment</w:t>
      </w:r>
    </w:p>
    <w:bookmarkEnd w:id="21"/>
    <w:bookmarkStart w:id="22" w:name="from-service-provider"/>
    <w:p>
      <w:pPr>
        <w:pStyle w:val="Heading4"/>
      </w:pPr>
      <w:r>
        <w:t xml:space="preserve">From (Service Provider)</w:t>
      </w:r>
    </w:p>
    <w:p>
      <w:pPr>
        <w:pStyle w:val="FirstParagraph"/>
      </w:pPr>
      <w:r>
        <w:t xml:space="preserve">Alexei Volkov — Independent Graphic Designer</w:t>
      </w:r>
    </w:p>
    <w:p>
      <w:pPr>
        <w:pStyle w:val="BodyText"/>
      </w:pPr>
      <w:r>
        <w:t xml:space="preserve">Volkov Creative Studio</w:t>
      </w:r>
    </w:p>
    <w:p>
      <w:pPr>
        <w:pStyle w:val="BodyText"/>
      </w:pPr>
      <w:r>
        <w:t xml:space="preserve">12 Nevsky Prospekt, Office 47</w:t>
      </w:r>
    </w:p>
    <w:p>
      <w:pPr>
        <w:pStyle w:val="BodyText"/>
      </w:pPr>
      <w:r>
        <w:t xml:space="preserve">Saint Petersburg, 191025</w:t>
      </w:r>
    </w:p>
    <w:p>
      <w:pPr>
        <w:pStyle w:val="BodyText"/>
      </w:pPr>
      <w:r>
        <w:t xml:space="preserve">Russia</w:t>
      </w:r>
    </w:p>
    <w:p>
      <w:pPr>
        <w:pStyle w:val="BodyText"/>
      </w:pPr>
      <w:r>
        <w:t xml:space="preserve">Email: a.volkov@volkovcreative.ru</w:t>
      </w:r>
    </w:p>
    <w:p>
      <w:pPr>
        <w:pStyle w:val="BodyText"/>
      </w:pPr>
      <w:r>
        <w:t xml:space="preserve">Phone: +7 (812) 555-0147</w:t>
      </w:r>
    </w:p>
    <w:p>
      <w:pPr>
        <w:pStyle w:val="BodyText"/>
      </w:pPr>
      <w:r>
        <w:t xml:space="preserve">Tax ID (INN): 7805123456</w:t>
      </w:r>
    </w:p>
    <w:bookmarkEnd w:id="22"/>
    <w:bookmarkStart w:id="23" w:name="billed-to-client"/>
    <w:p>
      <w:pPr>
        <w:pStyle w:val="Heading4"/>
      </w:pPr>
      <w:r>
        <w:t xml:space="preserve">Billed To (Client)</w:t>
      </w:r>
    </w:p>
    <w:p>
      <w:pPr>
        <w:pStyle w:val="FirstParagraph"/>
      </w:pPr>
      <w:r>
        <w:t xml:space="preserve">Northern Lights Media Group LLC</w:t>
      </w:r>
    </w:p>
    <w:p>
      <w:pPr>
        <w:pStyle w:val="BodyText"/>
      </w:pPr>
      <w:r>
        <w:t xml:space="preserve">Attn: Maria Petrova, Marketing Director</w:t>
      </w:r>
    </w:p>
    <w:p>
      <w:pPr>
        <w:pStyle w:val="BodyText"/>
      </w:pPr>
      <w:r>
        <w:t xml:space="preserve">45 Liteyny Avenue, Floor 8</w:t>
      </w:r>
    </w:p>
    <w:p>
      <w:pPr>
        <w:pStyle w:val="BodyText"/>
      </w:pPr>
      <w:r>
        <w:t xml:space="preserve">Saint Petersburg, 191011</w:t>
      </w:r>
    </w:p>
    <w:p>
      <w:pPr>
        <w:pStyle w:val="BodyText"/>
      </w:pPr>
      <w:r>
        <w:t xml:space="preserve">Russia</w:t>
      </w:r>
    </w:p>
    <w:p>
      <w:pPr>
        <w:pStyle w:val="BodyText"/>
      </w:pPr>
      <w:r>
        <w:t xml:space="preserve">Email: m.petrova@nlmedia.ru</w:t>
      </w:r>
    </w:p>
    <w:p>
      <w:pPr>
        <w:pStyle w:val="BodyText"/>
      </w:pPr>
      <w:r>
        <w:t xml:space="preserve">Phone: +7 (812) 333-8821</w:t>
      </w:r>
    </w:p>
    <w:p>
      <w:pPr>
        <w:pStyle w:val="BodyText"/>
      </w:pPr>
      <w:r>
        <w:t xml:space="preserve">Tax ID (INN): 7811987654</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Graphic Designer Task</w:t>
            </w:r>
          </w:p>
        </w:tc>
        <w:tc>
          <w:tcPr/>
          <w:p>
            <w:pPr>
              <w:pStyle w:val="Compact"/>
              <w:jc w:val="left"/>
            </w:pPr>
            <w:r>
              <w:t xml:space="preserve">Quantity</w:t>
            </w:r>
          </w:p>
        </w:tc>
        <w:tc>
          <w:tcPr/>
          <w:p>
            <w:pPr>
              <w:pStyle w:val="Compact"/>
              <w:jc w:val="left"/>
            </w:pPr>
            <w:r>
              <w:t xml:space="preserve">Unit Price (RUB)</w:t>
            </w:r>
          </w:p>
        </w:tc>
        <w:tc>
          <w:tcPr/>
          <w:p>
            <w:pPr>
              <w:pStyle w:val="Compact"/>
              <w:jc w:val="left"/>
            </w:pPr>
            <w:r>
              <w:t xml:space="preserve">Amount (RUB)</w:t>
            </w:r>
          </w:p>
        </w:tc>
      </w:tr>
      <w:tr>
        <w:tc>
          <w:tcPr/>
          <w:p>
            <w:pPr>
              <w:pStyle w:val="Compact"/>
              <w:jc w:val="left"/>
            </w:pPr>
            <w:r>
              <w:t xml:space="preserve">1</w:t>
            </w:r>
          </w:p>
        </w:tc>
        <w:tc>
          <w:tcPr/>
          <w:p>
            <w:pPr>
              <w:pStyle w:val="Compact"/>
              <w:jc w:val="left"/>
            </w:pPr>
            <w:r>
              <w:rPr>
                <w:bCs/>
                <w:b/>
              </w:rPr>
              <w:t xml:space="preserve">Brand Identity Redesign</w:t>
            </w:r>
          </w:p>
          <w:p>
            <w:pPr>
              <w:jc w:val="left"/>
            </w:pPr>
            <w:r>
              <w:t xml:space="preserve">Complete visual identity overhaul including logo redesign, color palette development, typography system, and brand guidelines document for Northern Lights Media Group. Delivered in print-ready and digital formats.</w:t>
            </w:r>
          </w:p>
        </w:tc>
        <w:tc>
          <w:tcPr/>
          <w:p>
            <w:pPr>
              <w:pStyle w:val="Compact"/>
              <w:jc w:val="left"/>
            </w:pPr>
            <w:r>
              <w:t xml:space="preserve">Logo &amp; Branding</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2</w:t>
            </w:r>
          </w:p>
        </w:tc>
        <w:tc>
          <w:tcPr/>
          <w:p>
            <w:pPr>
              <w:pStyle w:val="Compact"/>
              <w:jc w:val="left"/>
            </w:pPr>
            <w:r>
              <w:rPr>
                <w:bCs/>
                <w:b/>
              </w:rPr>
              <w:t xml:space="preserve">Corporate Stationery Suite</w:t>
            </w:r>
          </w:p>
          <w:p>
            <w:pPr>
              <w:jc w:val="left"/>
            </w:pPr>
            <w:r>
              <w:t xml:space="preserve">Design of business cards, letterheads, envelopes, and presentation folders incorporating the new brand identity. All files prepared for offset printing at local Saint Petersburg print facilities.</w:t>
            </w:r>
          </w:p>
        </w:tc>
        <w:tc>
          <w:tcPr/>
          <w:p>
            <w:pPr>
              <w:pStyle w:val="Compact"/>
              <w:jc w:val="left"/>
            </w:pPr>
            <w:r>
              <w:t xml:space="preserve">Print Design</w:t>
            </w:r>
          </w:p>
        </w:tc>
        <w:tc>
          <w:tcPr/>
          <w:p>
            <w:pPr>
              <w:pStyle w:val="Compact"/>
              <w:jc w:val="left"/>
            </w:pPr>
            <w:r>
              <w:t xml:space="preserve">1</w:t>
            </w:r>
          </w:p>
        </w:tc>
        <w:tc>
          <w:tcPr/>
          <w:p>
            <w:pPr>
              <w:pStyle w:val="Compact"/>
              <w:jc w:val="left"/>
            </w:pPr>
            <w:r>
              <w:t xml:space="preserve">62,000.00</w:t>
            </w:r>
          </w:p>
        </w:tc>
        <w:tc>
          <w:tcPr/>
          <w:p>
            <w:pPr>
              <w:pStyle w:val="Compact"/>
              <w:jc w:val="left"/>
            </w:pPr>
            <w:r>
              <w:t xml:space="preserve">62,000.00</w:t>
            </w:r>
          </w:p>
        </w:tc>
      </w:tr>
      <w:tr>
        <w:tc>
          <w:tcPr/>
          <w:p>
            <w:pPr>
              <w:pStyle w:val="Compact"/>
              <w:jc w:val="left"/>
            </w:pPr>
            <w:r>
              <w:t xml:space="preserve">3</w:t>
            </w:r>
          </w:p>
        </w:tc>
        <w:tc>
          <w:tcPr/>
          <w:p>
            <w:pPr>
              <w:pStyle w:val="Compact"/>
              <w:jc w:val="left"/>
            </w:pPr>
            <w:r>
              <w:rPr>
                <w:bCs/>
                <w:b/>
              </w:rPr>
              <w:t xml:space="preserve">Digital Marketing Collateral</w:t>
            </w:r>
          </w:p>
          <w:p>
            <w:pPr>
              <w:jc w:val="left"/>
            </w:pPr>
            <w:r>
              <w:t xml:space="preserve">Creation of 12 social media templates, 4 email newsletter layouts, and 6 banner ad variations for the Q3 2025 campaign. Optimized for VKontakte, Telegram, and Yandex Advertising Network platforms popular in Russia.</w:t>
            </w:r>
          </w:p>
        </w:tc>
        <w:tc>
          <w:tcPr/>
          <w:p>
            <w:pPr>
              <w:pStyle w:val="Compact"/>
              <w:jc w:val="left"/>
            </w:pPr>
            <w:r>
              <w:t xml:space="preserve">Digital Design</w:t>
            </w:r>
          </w:p>
        </w:tc>
        <w:tc>
          <w:tcPr/>
          <w:p>
            <w:pPr>
              <w:pStyle w:val="Compact"/>
              <w:jc w:val="left"/>
            </w:pPr>
            <w:r>
              <w:t xml:space="preserve">1</w:t>
            </w:r>
          </w:p>
        </w:tc>
        <w:tc>
          <w:tcPr/>
          <w:p>
            <w:pPr>
              <w:pStyle w:val="Compact"/>
              <w:jc w:val="left"/>
            </w:pPr>
            <w:r>
              <w:t xml:space="preserve">98,000.00</w:t>
            </w:r>
          </w:p>
        </w:tc>
        <w:tc>
          <w:tcPr/>
          <w:p>
            <w:pPr>
              <w:pStyle w:val="Compact"/>
              <w:jc w:val="left"/>
            </w:pPr>
            <w:r>
              <w:t xml:space="preserve">98,000.00</w:t>
            </w:r>
          </w:p>
        </w:tc>
      </w:tr>
      <w:tr>
        <w:tc>
          <w:tcPr/>
          <w:p>
            <w:pPr>
              <w:pStyle w:val="Compact"/>
              <w:jc w:val="left"/>
            </w:pPr>
            <w:r>
              <w:t xml:space="preserve">4</w:t>
            </w:r>
          </w:p>
        </w:tc>
        <w:tc>
          <w:tcPr/>
          <w:p>
            <w:pPr>
              <w:pStyle w:val="Compact"/>
              <w:jc w:val="left"/>
            </w:pPr>
            <w:r>
              <w:rPr>
                <w:bCs/>
                <w:b/>
              </w:rPr>
              <w:t xml:space="preserve">Annual Report Layout</w:t>
            </w:r>
          </w:p>
          <w:p>
            <w:pPr>
              <w:jc w:val="left"/>
            </w:pPr>
            <w:r>
              <w:t xml:space="preserve">Full layout and graphic design of the 2024 Annual Report (48 pages). Includes data visualization, infographics, photo editing, and final prepress preparation for the Saint Petersburg printing partner.</w:t>
            </w:r>
          </w:p>
        </w:tc>
        <w:tc>
          <w:tcPr/>
          <w:p>
            <w:pPr>
              <w:pStyle w:val="Compact"/>
              <w:jc w:val="left"/>
            </w:pPr>
            <w:r>
              <w:t xml:space="preserve">Editorial Design</w:t>
            </w:r>
          </w:p>
        </w:tc>
        <w:tc>
          <w:tcPr/>
          <w:p>
            <w:pPr>
              <w:pStyle w:val="Compact"/>
              <w:jc w:val="left"/>
            </w:pPr>
            <w:r>
              <w:t xml:space="preserve">1</w:t>
            </w:r>
          </w:p>
        </w:tc>
        <w:tc>
          <w:tcPr/>
          <w:p>
            <w:pPr>
              <w:pStyle w:val="Compact"/>
              <w:jc w:val="left"/>
            </w:pPr>
            <w:r>
              <w:t xml:space="preserve">145,000.00</w:t>
            </w:r>
          </w:p>
        </w:tc>
        <w:tc>
          <w:tcPr/>
          <w:p>
            <w:pPr>
              <w:pStyle w:val="Compact"/>
              <w:jc w:val="left"/>
            </w:pPr>
            <w:r>
              <w:t xml:space="preserve">145,000.00</w:t>
            </w:r>
          </w:p>
        </w:tc>
      </w:tr>
      <w:tr>
        <w:tc>
          <w:tcPr/>
          <w:p>
            <w:pPr>
              <w:pStyle w:val="Compact"/>
              <w:jc w:val="left"/>
            </w:pPr>
            <w:r>
              <w:t xml:space="preserve">5</w:t>
            </w:r>
          </w:p>
        </w:tc>
        <w:tc>
          <w:tcPr/>
          <w:p>
            <w:pPr>
              <w:pStyle w:val="Compact"/>
              <w:jc w:val="left"/>
            </w:pPr>
            <w:r>
              <w:rPr>
                <w:bCs/>
                <w:b/>
              </w:rPr>
              <w:t xml:space="preserve">Trade Show Booth Graphics</w:t>
            </w:r>
          </w:p>
          <w:p>
            <w:pPr>
              <w:jc w:val="left"/>
            </w:pPr>
            <w:r>
              <w:t xml:space="preserve">Large-format graphic design for the 6x3 meter exhibition booth at the Saint Petersburg International Economic Forum. Includes backdrop panels, roll-up banners, floor graphics, and interactive display screens.</w:t>
            </w:r>
          </w:p>
        </w:tc>
        <w:tc>
          <w:tcPr/>
          <w:p>
            <w:pPr>
              <w:pStyle w:val="Compact"/>
              <w:jc w:val="left"/>
            </w:pPr>
            <w:r>
              <w:t xml:space="preserve">Large Format</w:t>
            </w:r>
          </w:p>
        </w:tc>
        <w:tc>
          <w:tcPr/>
          <w:p>
            <w:pPr>
              <w:pStyle w:val="Compact"/>
              <w:jc w:val="left"/>
            </w:pPr>
            <w:r>
              <w:t xml:space="preserve">1</w:t>
            </w:r>
          </w:p>
        </w:tc>
        <w:tc>
          <w:tcPr/>
          <w:p>
            <w:pPr>
              <w:pStyle w:val="Compact"/>
              <w:jc w:val="left"/>
            </w:pPr>
            <w:r>
              <w:t xml:space="preserve">78,000.00</w:t>
            </w:r>
          </w:p>
        </w:tc>
        <w:tc>
          <w:tcPr/>
          <w:p>
            <w:pPr>
              <w:pStyle w:val="Compact"/>
              <w:jc w:val="left"/>
            </w:pPr>
            <w:r>
              <w:t xml:space="preserve">78,000.00</w:t>
            </w:r>
          </w:p>
        </w:tc>
      </w:tr>
      <w:tr>
        <w:tc>
          <w:tcPr/>
          <w:p>
            <w:pPr>
              <w:pStyle w:val="Compact"/>
              <w:jc w:val="left"/>
            </w:pPr>
            <w:r>
              <w:t xml:space="preserve">6</w:t>
            </w:r>
          </w:p>
        </w:tc>
        <w:tc>
          <w:tcPr/>
          <w:p>
            <w:pPr>
              <w:pStyle w:val="Compact"/>
              <w:jc w:val="left"/>
            </w:pPr>
            <w:r>
              <w:rPr>
                <w:bCs/>
                <w:b/>
              </w:rPr>
              <w:t xml:space="preserve">Revisions &amp; Consultation Hours</w:t>
            </w:r>
          </w:p>
          <w:p>
            <w:pPr>
              <w:jc w:val="left"/>
            </w:pPr>
            <w:r>
              <w:t xml:space="preserve">Additional revision rounds (beyond the three included in base packages) and two on-site consultation meetings at the client's office on Liteyny Avenue, Saint Petersburg. Total 14 hours of Graphic Designer time.</w:t>
            </w:r>
          </w:p>
        </w:tc>
        <w:tc>
          <w:tcPr/>
          <w:p>
            <w:pPr>
              <w:pStyle w:val="Compact"/>
              <w:jc w:val="left"/>
            </w:pPr>
            <w:r>
              <w:t xml:space="preserve">Consultation</w:t>
            </w:r>
          </w:p>
        </w:tc>
        <w:tc>
          <w:tcPr/>
          <w:p>
            <w:pPr>
              <w:pStyle w:val="Compact"/>
              <w:jc w:val="left"/>
            </w:pPr>
            <w:r>
              <w:t xml:space="preserve">14</w:t>
            </w:r>
          </w:p>
        </w:tc>
        <w:tc>
          <w:tcPr/>
          <w:p>
            <w:pPr>
              <w:pStyle w:val="Compact"/>
              <w:jc w:val="left"/>
            </w:pPr>
            <w:r>
              <w:t xml:space="preserve">2,500.00</w:t>
            </w:r>
          </w:p>
        </w:tc>
        <w:tc>
          <w:tcPr/>
          <w:p>
            <w:pPr>
              <w:pStyle w:val="Compact"/>
              <w:jc w:val="left"/>
            </w:pPr>
            <w:r>
              <w:t xml:space="preserve">35,000.00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603,000.00</w:t>
            </w:r>
          </w:p>
        </w:tc>
      </w:tr>
      <w:tr>
        <w:tc>
          <w:tcPr/>
          <w:p>
            <w:pPr>
              <w:pStyle w:val="Compact"/>
              <w:jc w:val="left"/>
            </w:pPr>
            <w:r>
              <w:t xml:space="preserve">VAT (20% — Russian Federal Tax)</w:t>
            </w:r>
          </w:p>
        </w:tc>
        <w:tc>
          <w:tcPr/>
          <w:p>
            <w:pPr>
              <w:pStyle w:val="Compact"/>
              <w:jc w:val="left"/>
            </w:pPr>
            <w:r>
              <w:t xml:space="preserve">120,600.00</w:t>
            </w:r>
          </w:p>
        </w:tc>
      </w:tr>
      <w:tr>
        <w:tc>
          <w:tcPr/>
          <w:p>
            <w:pPr>
              <w:pStyle w:val="Compact"/>
              <w:jc w:val="left"/>
            </w:pPr>
            <w:r>
              <w:t xml:space="preserve">Discount (Early Payment — 5%)</w:t>
            </w:r>
          </w:p>
        </w:tc>
        <w:tc>
          <w:tcPr/>
          <w:p>
            <w:pPr>
              <w:pStyle w:val="Compact"/>
              <w:jc w:val="left"/>
            </w:pPr>
            <w:r>
              <w:t xml:space="preserve">-30,150.00</w:t>
            </w:r>
          </w:p>
        </w:tc>
      </w:tr>
      <w:tr>
        <w:tc>
          <w:tcPr/>
          <w:p>
            <w:pPr>
              <w:pStyle w:val="Compact"/>
              <w:jc w:val="left"/>
            </w:pPr>
            <w:r>
              <w:t xml:space="preserve">Total Amount Due (RUB)</w:t>
            </w:r>
          </w:p>
        </w:tc>
        <w:tc>
          <w:tcPr/>
          <w:p>
            <w:pPr>
              <w:pStyle w:val="Compact"/>
              <w:jc w:val="left"/>
            </w:pPr>
            <w:r>
              <w:t xml:space="preserve">693,450.00</w:t>
            </w:r>
          </w:p>
        </w:tc>
      </w:tr>
    </w:tbl>
    <w:bookmarkStart w:id="24" w:name="invoice-notes-payment-instructions"/>
    <w:p>
      <w:pPr>
        <w:pStyle w:val="Heading4"/>
      </w:pPr>
      <w:r>
        <w:t xml:space="preserve">Invoice Notes &amp; Payment Instructions</w:t>
      </w:r>
    </w:p>
    <w:p>
      <w:pPr>
        <w:numPr>
          <w:ilvl w:val="0"/>
          <w:numId w:val="1001"/>
        </w:numPr>
        <w:pStyle w:val="Compact"/>
      </w:pPr>
      <w:r>
        <w:rPr>
          <w:bCs/>
          <w:b/>
        </w:rPr>
        <w:t xml:space="preserve">Payment Method:</w:t>
      </w:r>
      <w:r>
        <w:t xml:space="preserve"> </w:t>
      </w:r>
      <w:r>
        <w:t xml:space="preserve">Bank transfer to the account of Volkov Creative Studio, Sberbank, Saint Petersburg Branch. Account: 40802810900000012345. BIC: SABRRU32. Please reference Invoice Number INV-SPB-2025-0472 in the payment memo.</w:t>
      </w:r>
    </w:p>
    <w:p>
      <w:pPr>
        <w:numPr>
          <w:ilvl w:val="0"/>
          <w:numId w:val="1001"/>
        </w:numPr>
        <w:pStyle w:val="Compact"/>
      </w:pPr>
      <w:r>
        <w:rPr>
          <w:bCs/>
          <w:b/>
        </w:rPr>
        <w:t xml:space="preserve">Payment Deadline:</w:t>
      </w:r>
      <w:r>
        <w:t xml:space="preserve"> </w:t>
      </w:r>
      <w:r>
        <w:t xml:space="preserve">This Invoice must be settled in full within 30 calendar days from the issue date (by July 15, 2025). Late payments will incur a penalty of 0.1% per day as stipulated under Russian Civil Code Article 395.</w:t>
      </w:r>
    </w:p>
    <w:p>
      <w:pPr>
        <w:numPr>
          <w:ilvl w:val="0"/>
          <w:numId w:val="1001"/>
        </w:numPr>
        <w:pStyle w:val="Compact"/>
      </w:pPr>
      <w:r>
        <w:rPr>
          <w:bCs/>
          <w:b/>
        </w:rPr>
        <w:t xml:space="preserve">Deliverables:</w:t>
      </w:r>
      <w:r>
        <w:t xml:space="preserve"> </w:t>
      </w:r>
      <w:r>
        <w:t xml:space="preserve">All final files (AI, PSD, PDF, PNG, SVG) will be delivered via secure cloud link within 5 business days of full payment confirmation. Source files remain the intellectual property of the Graphic Designer until final payment is received.</w:t>
      </w:r>
    </w:p>
    <w:p>
      <w:pPr>
        <w:numPr>
          <w:ilvl w:val="0"/>
          <w:numId w:val="1001"/>
        </w:numPr>
        <w:pStyle w:val="Compact"/>
      </w:pPr>
      <w:r>
        <w:rPr>
          <w:bCs/>
          <w:b/>
        </w:rPr>
        <w:t xml:space="preserve">Revisions:</w:t>
      </w:r>
      <w:r>
        <w:t xml:space="preserve"> </w:t>
      </w:r>
      <w:r>
        <w:t xml:space="preserve">This Invoice covers three rounds of revisions per project item. Additional revision cycles will be billed at the hourly rate of 2,500 RUB per hour as a separate Invoice.</w:t>
      </w:r>
    </w:p>
    <w:p>
      <w:pPr>
        <w:numPr>
          <w:ilvl w:val="0"/>
          <w:numId w:val="1001"/>
        </w:numPr>
        <w:pStyle w:val="Compact"/>
      </w:pPr>
      <w:r>
        <w:rPr>
          <w:bCs/>
          <w:b/>
        </w:rPr>
        <w:t xml:space="preserve">Tax Compliance:</w:t>
      </w:r>
      <w:r>
        <w:t xml:space="preserve"> </w:t>
      </w:r>
      <w:r>
        <w:t xml:space="preserve">This Invoice is issued in accordance with the Tax Code of the Russian Federation. A formal receipt (kassa chek) will be provided upon payment. The Graphic Designer operates under the simplified taxation system (USN 15%) in Saint Petersburg, Russia.</w:t>
      </w:r>
    </w:p>
    <w:p>
      <w:pPr>
        <w:numPr>
          <w:ilvl w:val="0"/>
          <w:numId w:val="1001"/>
        </w:numPr>
        <w:pStyle w:val="Compact"/>
      </w:pPr>
      <w:r>
        <w:rPr>
          <w:bCs/>
          <w:b/>
        </w:rPr>
        <w:t xml:space="preserve">Dispute Resolution:</w:t>
      </w:r>
      <w:r>
        <w:t xml:space="preserve"> </w:t>
      </w:r>
      <w:r>
        <w:t xml:space="preserve">Any disputes arising from this Invoice or the associated Graphic Designer services shall be resolved through the Arbitration Court of Saint Petersburg and Leningrad Oblast, Russia, in accordance with applicable Russian commercial law.</w:t>
      </w:r>
    </w:p>
    <w:bookmarkEnd w:id="24"/>
    <w:p>
      <w:pPr>
        <w:pStyle w:val="FirstParagraph"/>
      </w:pPr>
      <w:r>
        <w:rPr>
          <w:bCs/>
          <w:b/>
        </w:rPr>
        <w:t xml:space="preserve">Volkov Creative Studio</w:t>
      </w:r>
      <w:r>
        <w:t xml:space="preserve"> </w:t>
      </w:r>
      <w:r>
        <w:t xml:space="preserve">— Professional Graphic Designer Services in Russia Saint Petersburg</w:t>
      </w:r>
    </w:p>
    <w:p>
      <w:pPr>
        <w:pStyle w:val="BodyText"/>
      </w:pPr>
      <w:r>
        <w:t xml:space="preserve">12 Nevsky Prospekt, Office 47, Saint Petersburg, 191025, Russia | INN: 7805123456 | OGRNIP: 315784700012345</w:t>
      </w:r>
    </w:p>
    <w:p>
      <w:pPr>
        <w:pStyle w:val="BodyText"/>
      </w:pPr>
      <w:r>
        <w:t xml:space="preserve">This Invoice was generated electronically and is valid without a physical signature. For verification, contact the issuing Graphic Designer at a.volkov@volkovcreative.ru.</w:t>
      </w:r>
    </w:p>
    <w:p>
      <w:pPr>
        <w:pStyle w:val="BodyText"/>
      </w:pPr>
      <w:r>
        <w:t xml:space="preserve">© 2025 Volkov Creative Studio. All rights reserved. Invoice INV-SPB-2025-0472.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Graphic Designer Services - Russia Saint Petersburg</dc:title>
  <dc:creator/>
  <dc:language>en</dc:language>
  <cp:keywords/>
  <dcterms:created xsi:type="dcterms:W3CDTF">2026-10-10T08:51:35Z</dcterms:created>
  <dcterms:modified xsi:type="dcterms:W3CDTF">2026-10-10T08:51:35Z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