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Hairdresser</w:t>
      </w:r>
      <w:r>
        <w:t xml:space="preserve"> </w:t>
      </w:r>
      <w:r>
        <w:t xml:space="preserve">Tel</w:t>
      </w:r>
      <w:r>
        <w:t xml:space="preserve"> </w:t>
      </w:r>
      <w:r>
        <w:t xml:space="preserve">Aviv,</w:t>
      </w:r>
      <w:r>
        <w:t xml:space="preserve"> </w:t>
      </w:r>
      <w:r>
        <w:t xml:space="preserve">Israel</w:t>
      </w:r>
    </w:p>
    <w:bookmarkStart w:id="20" w:name="luxury-hair-studio-tel-aviv"/>
    <w:p>
      <w:pPr>
        <w:pStyle w:val="Heading1"/>
      </w:pPr>
      <w:r>
        <w:t xml:space="preserve">Luxury Hair Studio Tel Aviv</w:t>
      </w:r>
    </w:p>
    <w:p>
      <w:pPr>
        <w:pStyle w:val="FirstParagraph"/>
      </w:pPr>
      <w:r>
        <w:t xml:space="preserve">Hairdresser &amp; Beauty Salon</w:t>
      </w:r>
    </w:p>
    <w:p>
      <w:pPr>
        <w:pStyle w:val="BodyText"/>
      </w:pPr>
      <w:r>
        <w:t xml:space="preserve">142 Allenby Street, Tel Aviv-Yafo, Israel 6612301</w:t>
      </w:r>
    </w:p>
    <w:p>
      <w:pPr>
        <w:pStyle w:val="BodyText"/>
      </w:pPr>
      <w:r>
        <w:t xml:space="preserve">Tel: +972-3-517-8899 | Mobile: +972-52-345-6789</w:t>
      </w:r>
    </w:p>
    <w:p>
      <w:pPr>
        <w:pStyle w:val="BodyText"/>
      </w:pPr>
      <w:r>
        <w:t xml:space="preserve">Email: info@luxuryhairstudio.co.il</w:t>
      </w:r>
    </w:p>
    <w:p>
      <w:pPr>
        <w:pStyle w:val="BodyText"/>
      </w:pPr>
      <w:r>
        <w:t xml:space="preserve">VAT Registration No. 51-800-456-78</w:t>
      </w:r>
    </w:p>
    <w:p>
      <w:pPr>
        <w:pStyle w:val="BodyText"/>
      </w:pPr>
      <w:r>
        <w:t xml:space="preserve">Business License: 51-2019-334-567</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INV-2025-04872</w:t>
      </w:r>
    </w:p>
    <w:p>
      <w:pPr>
        <w:pStyle w:val="BodyText"/>
      </w:pPr>
      <w:r>
        <w:rPr>
          <w:bCs/>
          <w:b/>
        </w:rPr>
        <w:t xml:space="preserve">Date Issued:</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Service Date:</w:t>
      </w:r>
      <w:r>
        <w:t xml:space="preserve"> </w:t>
      </w:r>
      <w:r>
        <w:t xml:space="preserve">14 June 2025</w:t>
      </w:r>
    </w:p>
    <w:p>
      <w:pPr>
        <w:pStyle w:val="BodyText"/>
      </w:pPr>
      <w:r>
        <w:rPr>
          <w:bCs/>
          <w:b/>
        </w:rPr>
        <w:t xml:space="preserve">Payment Status:</w:t>
      </w:r>
      <w:r>
        <w:t xml:space="preserve"> </w:t>
      </w:r>
      <w:r>
        <w:rPr>
          <w:iCs/>
          <w:i/>
        </w:rPr>
        <w:t xml:space="preserve">Due</w:t>
      </w:r>
    </w:p>
    <w:bookmarkEnd w:id="21"/>
    <w:bookmarkStart w:id="22" w:name="billed-to-client"/>
    <w:p>
      <w:pPr>
        <w:pStyle w:val="Heading3"/>
      </w:pPr>
      <w:r>
        <w:t xml:space="preserve">Billed To (Client)</w:t>
      </w:r>
    </w:p>
    <w:p>
      <w:pPr>
        <w:pStyle w:val="FirstParagraph"/>
      </w:pPr>
      <w:r>
        <w:rPr>
          <w:bCs/>
          <w:b/>
        </w:rPr>
        <w:t xml:space="preserve">Name:</w:t>
      </w:r>
      <w:r>
        <w:t xml:space="preserve"> </w:t>
      </w:r>
      <w:r>
        <w:t xml:space="preserve">Sarah Goldstein</w:t>
      </w:r>
    </w:p>
    <w:p>
      <w:pPr>
        <w:pStyle w:val="BodyText"/>
      </w:pPr>
      <w:r>
        <w:rPr>
          <w:bCs/>
          <w:b/>
        </w:rPr>
        <w:t xml:space="preserve">Address:</w:t>
      </w:r>
      <w:r>
        <w:t xml:space="preserve"> </w:t>
      </w:r>
      <w:r>
        <w:t xml:space="preserve">28 Rothschild Boulevard, Apt. 12B</w:t>
      </w:r>
    </w:p>
    <w:p>
      <w:pPr>
        <w:pStyle w:val="BodyText"/>
      </w:pPr>
      <w:r>
        <w:t xml:space="preserve">Tel Aviv-Yafo, Israel 6500102</w:t>
      </w:r>
    </w:p>
    <w:p>
      <w:pPr>
        <w:pStyle w:val="BodyText"/>
      </w:pPr>
      <w:r>
        <w:rPr>
          <w:bCs/>
          <w:b/>
        </w:rPr>
        <w:t xml:space="preserve">Phone:</w:t>
      </w:r>
      <w:r>
        <w:t xml:space="preserve"> </w:t>
      </w:r>
      <w:r>
        <w:t xml:space="preserve">+972-54-789-1234</w:t>
      </w:r>
    </w:p>
    <w:p>
      <w:pPr>
        <w:pStyle w:val="BodyText"/>
      </w:pPr>
      <w:r>
        <w:rPr>
          <w:bCs/>
          <w:b/>
        </w:rPr>
        <w:t xml:space="preserve">Email:</w:t>
      </w:r>
      <w:r>
        <w:t xml:space="preserve"> </w:t>
      </w:r>
      <w:r>
        <w:t xml:space="preserve">sarah.goldstein@email.com</w:t>
      </w:r>
    </w:p>
    <w:p>
      <w:pPr>
        <w:pStyle w:val="BodyText"/>
      </w:pPr>
      <w:r>
        <w:rPr>
          <w:bCs/>
          <w:b/>
        </w:rPr>
        <w:t xml:space="preserve">Client ID:</w:t>
      </w:r>
      <w:r>
        <w:t xml:space="preserve"> </w:t>
      </w:r>
      <w:r>
        <w:t xml:space="preserve">CL-2024-00318</w:t>
      </w:r>
    </w:p>
    <w:bookmarkEnd w:id="22"/>
    <w:bookmarkStart w:id="23" w:name="service-provider"/>
    <w:p>
      <w:pPr>
        <w:pStyle w:val="Heading3"/>
      </w:pPr>
      <w:r>
        <w:t xml:space="preserve">Service Provider</w:t>
      </w:r>
    </w:p>
    <w:p>
      <w:pPr>
        <w:pStyle w:val="FirstParagraph"/>
      </w:pPr>
      <w:r>
        <w:rPr>
          <w:bCs/>
          <w:b/>
        </w:rPr>
        <w:t xml:space="preserve">Hairdresser:</w:t>
      </w:r>
      <w:r>
        <w:t xml:space="preserve"> </w:t>
      </w:r>
      <w:r>
        <w:t xml:space="preserve">Master Stylist David Levi</w:t>
      </w:r>
    </w:p>
    <w:p>
      <w:pPr>
        <w:pStyle w:val="BodyText"/>
      </w:pPr>
      <w:r>
        <w:rPr>
          <w:bCs/>
          <w:b/>
        </w:rPr>
        <w:t xml:space="preserve">Specialization:</w:t>
      </w:r>
      <w:r>
        <w:t xml:space="preserve"> </w:t>
      </w:r>
      <w:r>
        <w:t xml:space="preserve">Color, Cuts, Styling</w:t>
      </w:r>
    </w:p>
    <w:p>
      <w:pPr>
        <w:pStyle w:val="BodyText"/>
      </w:pPr>
      <w:r>
        <w:rPr>
          <w:bCs/>
          <w:b/>
        </w:rPr>
        <w:t xml:space="preserve">License No.:</w:t>
      </w:r>
      <w:r>
        <w:t xml:space="preserve"> </w:t>
      </w:r>
      <w:r>
        <w:t xml:space="preserve">HL-2018-4456</w:t>
      </w:r>
    </w:p>
    <w:p>
      <w:pPr>
        <w:pStyle w:val="BodyText"/>
      </w:pPr>
      <w:r>
        <w:rPr>
          <w:bCs/>
          <w:b/>
        </w:rPr>
        <w:t xml:space="preserve">Studio Location:</w:t>
      </w:r>
      <w:r>
        <w:t xml:space="preserve"> </w:t>
      </w:r>
      <w:r>
        <w:t xml:space="preserve">Tel Aviv, Israel</w:t>
      </w:r>
    </w:p>
    <w:p>
      <w:pPr>
        <w:pStyle w:val="BodyText"/>
      </w:pPr>
      <w:r>
        <w:rPr>
          <w:bCs/>
          <w:b/>
        </w:rPr>
        <w:t xml:space="preserve">Appointment Ref:</w:t>
      </w:r>
      <w:r>
        <w:t xml:space="preserve"> </w:t>
      </w:r>
      <w:r>
        <w:t xml:space="preserve">APPT-2025-0614-07</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Category</w:t>
            </w:r>
          </w:p>
        </w:tc>
        <w:tc>
          <w:tcPr/>
          <w:p>
            <w:pPr>
              <w:pStyle w:val="Compact"/>
              <w:jc w:val="left"/>
            </w:pPr>
            <w:r>
              <w:t xml:space="preserve">Qty</w:t>
            </w:r>
          </w:p>
        </w:tc>
        <w:tc>
          <w:tcPr/>
          <w:p>
            <w:pPr>
              <w:pStyle w:val="Compact"/>
              <w:jc w:val="left"/>
            </w:pPr>
            <w:r>
              <w:t xml:space="preserve">Unit Price (NIS)</w:t>
            </w:r>
          </w:p>
        </w:tc>
        <w:tc>
          <w:tcPr/>
          <w:p>
            <w:pPr>
              <w:pStyle w:val="Compact"/>
              <w:jc w:val="left"/>
            </w:pPr>
            <w:r>
              <w:t xml:space="preserve">Amount (NIS)</w:t>
            </w:r>
          </w:p>
        </w:tc>
      </w:tr>
      <w:tr>
        <w:tc>
          <w:tcPr/>
          <w:p>
            <w:pPr>
              <w:pStyle w:val="Compact"/>
              <w:jc w:val="left"/>
            </w:pPr>
            <w:r>
              <w:t xml:space="preserve">1</w:t>
            </w:r>
          </w:p>
        </w:tc>
        <w:tc>
          <w:tcPr/>
          <w:p>
            <w:pPr>
              <w:pStyle w:val="Compact"/>
              <w:jc w:val="left"/>
            </w:pPr>
            <w:r>
              <w:t xml:space="preserve">Full Haircut &amp; Precision Styling (Women's Cut)</w:t>
            </w:r>
          </w:p>
        </w:tc>
        <w:tc>
          <w:tcPr/>
          <w:p>
            <w:pPr>
              <w:pStyle w:val="Compact"/>
              <w:jc w:val="left"/>
            </w:pPr>
            <w:r>
              <w:t xml:space="preserve">Cutting</w:t>
            </w:r>
          </w:p>
        </w:tc>
        <w:tc>
          <w:tcPr/>
          <w:p>
            <w:pPr>
              <w:pStyle w:val="Compact"/>
              <w:jc w:val="left"/>
            </w:pPr>
            <w:r>
              <w:t xml:space="preserve">1</w:t>
            </w:r>
          </w:p>
        </w:tc>
        <w:tc>
          <w:tcPr/>
          <w:p>
            <w:pPr>
              <w:pStyle w:val="Compact"/>
              <w:jc w:val="left"/>
            </w:pPr>
            <w:r>
              <w:t xml:space="preserve">350.00</w:t>
            </w:r>
          </w:p>
        </w:tc>
        <w:tc>
          <w:tcPr/>
          <w:p>
            <w:pPr>
              <w:pStyle w:val="Compact"/>
              <w:jc w:val="left"/>
            </w:pPr>
            <w:r>
              <w:t xml:space="preserve">350.00</w:t>
            </w:r>
          </w:p>
        </w:tc>
      </w:tr>
      <w:tr>
        <w:tc>
          <w:tcPr/>
          <w:p>
            <w:pPr>
              <w:pStyle w:val="Compact"/>
              <w:jc w:val="left"/>
            </w:pPr>
            <w:r>
              <w:t xml:space="preserve">2</w:t>
            </w:r>
          </w:p>
        </w:tc>
        <w:tc>
          <w:tcPr/>
          <w:p>
            <w:pPr>
              <w:pStyle w:val="Compact"/>
              <w:jc w:val="left"/>
            </w:pPr>
            <w:r>
              <w:t xml:space="preserve">Full-Head Balayage with Premium Color Formula</w:t>
            </w:r>
          </w:p>
        </w:tc>
        <w:tc>
          <w:tcPr/>
          <w:p>
            <w:pPr>
              <w:pStyle w:val="Compact"/>
              <w:jc w:val="left"/>
            </w:pPr>
            <w:r>
              <w:t xml:space="preserve">Coloring</w:t>
            </w:r>
          </w:p>
        </w:tc>
        <w:tc>
          <w:tcPr/>
          <w:p>
            <w:pPr>
              <w:pStyle w:val="Compact"/>
              <w:jc w:val="left"/>
            </w:pPr>
            <w:r>
              <w:t xml:space="preserve">1</w:t>
            </w:r>
          </w:p>
        </w:tc>
        <w:tc>
          <w:tcPr/>
          <w:p>
            <w:pPr>
              <w:pStyle w:val="Compact"/>
              <w:jc w:val="left"/>
            </w:pPr>
            <w:r>
              <w:t xml:space="preserve">850.00</w:t>
            </w:r>
          </w:p>
        </w:tc>
        <w:tc>
          <w:tcPr/>
          <w:p>
            <w:pPr>
              <w:pStyle w:val="Compact"/>
              <w:jc w:val="left"/>
            </w:pPr>
            <w:r>
              <w:t xml:space="preserve">850.00</w:t>
            </w:r>
          </w:p>
        </w:tc>
      </w:tr>
      <w:tr>
        <w:tc>
          <w:tcPr/>
          <w:p>
            <w:pPr>
              <w:pStyle w:val="Compact"/>
              <w:jc w:val="left"/>
            </w:pPr>
            <w:r>
              <w:t xml:space="preserve">3</w:t>
            </w:r>
          </w:p>
        </w:tc>
        <w:tc>
          <w:tcPr/>
          <w:p>
            <w:pPr>
              <w:pStyle w:val="Compact"/>
              <w:jc w:val="left"/>
            </w:pPr>
            <w:r>
              <w:t xml:space="preserve">Deep Nourishing Hair Treatment (Keratin Repair)</w:t>
            </w:r>
          </w:p>
        </w:tc>
        <w:tc>
          <w:tcPr/>
          <w:p>
            <w:pPr>
              <w:pStyle w:val="Compact"/>
              <w:jc w:val="left"/>
            </w:pPr>
            <w:r>
              <w:t xml:space="preserve">Treatment</w:t>
            </w:r>
          </w:p>
        </w:tc>
        <w:tc>
          <w:tcPr/>
          <w:p>
            <w:pPr>
              <w:pStyle w:val="Compact"/>
              <w:jc w:val="left"/>
            </w:pPr>
            <w:r>
              <w:t xml:space="preserve">1</w:t>
            </w:r>
          </w:p>
        </w:tc>
        <w:tc>
          <w:tcPr/>
          <w:p>
            <w:pPr>
              <w:pStyle w:val="Compact"/>
              <w:jc w:val="left"/>
            </w:pPr>
            <w:r>
              <w:t xml:space="preserve">420.00</w:t>
            </w:r>
          </w:p>
        </w:tc>
        <w:tc>
          <w:tcPr/>
          <w:p>
            <w:pPr>
              <w:pStyle w:val="Compact"/>
              <w:jc w:val="left"/>
            </w:pPr>
            <w:r>
              <w:t xml:space="preserve">420.00</w:t>
            </w:r>
          </w:p>
        </w:tc>
      </w:tr>
      <w:tr>
        <w:tc>
          <w:tcPr/>
          <w:p>
            <w:pPr>
              <w:pStyle w:val="Compact"/>
              <w:jc w:val="left"/>
            </w:pPr>
            <w:r>
              <w:t xml:space="preserve">4</w:t>
            </w:r>
          </w:p>
        </w:tc>
        <w:tc>
          <w:tcPr/>
          <w:p>
            <w:pPr>
              <w:pStyle w:val="Compact"/>
              <w:jc w:val="left"/>
            </w:pPr>
            <w:r>
              <w:t xml:space="preserve">Scalp Massage &amp; Aromatherapy Session (30 min)</w:t>
            </w:r>
          </w:p>
        </w:tc>
        <w:tc>
          <w:tcPr/>
          <w:p>
            <w:pPr>
              <w:pStyle w:val="Compact"/>
              <w:jc w:val="left"/>
            </w:pPr>
            <w:r>
              <w:t xml:space="preserve">Wellness</w:t>
            </w:r>
          </w:p>
        </w:tc>
        <w:tc>
          <w:tcPr/>
          <w:p>
            <w:pPr>
              <w:pStyle w:val="Compact"/>
              <w:jc w:val="left"/>
            </w:pPr>
            <w:r>
              <w:t xml:space="preserve">1</w:t>
            </w:r>
          </w:p>
        </w:tc>
        <w:tc>
          <w:tcPr/>
          <w:p>
            <w:pPr>
              <w:pStyle w:val="Compact"/>
              <w:jc w:val="left"/>
            </w:pPr>
            <w:r>
              <w:t xml:space="preserve">180.00</w:t>
            </w:r>
          </w:p>
        </w:tc>
        <w:tc>
          <w:tcPr/>
          <w:p>
            <w:pPr>
              <w:pStyle w:val="Compact"/>
              <w:jc w:val="left"/>
            </w:pPr>
            <w:r>
              <w:t xml:space="preserve">180.00</w:t>
            </w:r>
          </w:p>
        </w:tc>
      </w:tr>
      <w:tr>
        <w:tc>
          <w:tcPr/>
          <w:p>
            <w:pPr>
              <w:pStyle w:val="Compact"/>
              <w:jc w:val="left"/>
            </w:pPr>
            <w:r>
              <w:t xml:space="preserve">5</w:t>
            </w:r>
          </w:p>
        </w:tc>
        <w:tc>
          <w:tcPr/>
          <w:p>
            <w:pPr>
              <w:pStyle w:val="Compact"/>
              <w:jc w:val="left"/>
            </w:pPr>
            <w:r>
              <w:t xml:space="preserve">Blow-Dry &amp; Professional Finishing Styling</w:t>
            </w:r>
          </w:p>
        </w:tc>
        <w:tc>
          <w:tcPr/>
          <w:p>
            <w:pPr>
              <w:pStyle w:val="Compact"/>
              <w:jc w:val="left"/>
            </w:pPr>
            <w:r>
              <w:t xml:space="preserve">Styling</w:t>
            </w:r>
          </w:p>
        </w:tc>
        <w:tc>
          <w:tcPr/>
          <w:p>
            <w:pPr>
              <w:pStyle w:val="Compact"/>
              <w:jc w:val="left"/>
            </w:pPr>
            <w:r>
              <w:t xml:space="preserve">1</w:t>
            </w:r>
          </w:p>
        </w:tc>
        <w:tc>
          <w:tcPr/>
          <w:p>
            <w:pPr>
              <w:pStyle w:val="Compact"/>
              <w:jc w:val="left"/>
            </w:pPr>
            <w:r>
              <w:t xml:space="preserve">150.00</w:t>
            </w:r>
          </w:p>
        </w:tc>
        <w:tc>
          <w:tcPr/>
          <w:p>
            <w:pPr>
              <w:pStyle w:val="Compact"/>
              <w:jc w:val="left"/>
            </w:pPr>
            <w:r>
              <w:t xml:space="preserve">150.00</w:t>
            </w:r>
          </w:p>
        </w:tc>
      </w:tr>
      <w:tr>
        <w:tc>
          <w:tcPr/>
          <w:p>
            <w:pPr>
              <w:pStyle w:val="Compact"/>
              <w:jc w:val="left"/>
            </w:pPr>
            <w:r>
              <w:t xml:space="preserve">6</w:t>
            </w:r>
          </w:p>
        </w:tc>
        <w:tc>
          <w:tcPr/>
          <w:p>
            <w:pPr>
              <w:pStyle w:val="Compact"/>
              <w:jc w:val="left"/>
            </w:pPr>
            <w:r>
              <w:t xml:space="preserve">At-Home Hair Care Product Kit (Shampoo, Conditioner, Serum)</w:t>
            </w:r>
          </w:p>
        </w:tc>
        <w:tc>
          <w:tcPr/>
          <w:p>
            <w:pPr>
              <w:pStyle w:val="Compact"/>
              <w:jc w:val="left"/>
            </w:pPr>
            <w:r>
              <w:t xml:space="preserve">Retail</w:t>
            </w:r>
          </w:p>
        </w:tc>
        <w:tc>
          <w:tcPr/>
          <w:p>
            <w:pPr>
              <w:pStyle w:val="Compact"/>
              <w:jc w:val="left"/>
            </w:pPr>
            <w:r>
              <w:t xml:space="preserve">1</w:t>
            </w:r>
          </w:p>
        </w:tc>
        <w:tc>
          <w:tcPr/>
          <w:p>
            <w:pPr>
              <w:pStyle w:val="Compact"/>
              <w:jc w:val="left"/>
            </w:pPr>
            <w:r>
              <w:t xml:space="preserve">295.00</w:t>
            </w:r>
          </w:p>
        </w:tc>
        <w:tc>
          <w:tcPr/>
          <w:p>
            <w:pPr>
              <w:pStyle w:val="Compact"/>
              <w:jc w:val="left"/>
            </w:pPr>
            <w:r>
              <w:t xml:space="preserve">295.00</w:t>
            </w:r>
          </w:p>
        </w:tc>
      </w:tr>
    </w:tbl>
    <w:p>
      <w:pPr>
        <w:pStyle w:val="BodyText"/>
      </w:pPr>
      <w:r>
        <w:t xml:space="preserve">Subtotal (NIS):</w:t>
      </w:r>
      <w:r>
        <w:t xml:space="preserve">2,245.00</w:t>
      </w:r>
    </w:p>
    <w:p>
      <w:pPr>
        <w:pStyle w:val="BodyText"/>
      </w:pPr>
      <w:r>
        <w:t xml:space="preserve">VAT @ 18% (NIS):</w:t>
      </w:r>
      <w:r>
        <w:t xml:space="preserve">404.10</w:t>
      </w:r>
    </w:p>
    <w:p>
      <w:pPr>
        <w:pStyle w:val="BodyText"/>
      </w:pPr>
      <w:r>
        <w:t xml:space="preserve">Discount – Loyalty Program (5%):</w:t>
      </w:r>
      <w:r>
        <w:t xml:space="preserve">-112.25</w:t>
      </w:r>
    </w:p>
    <w:p>
      <w:pPr>
        <w:pStyle w:val="BodyText"/>
      </w:pPr>
      <w:r>
        <w:t xml:space="preserve">TOTAL DUE (NIS):</w:t>
      </w:r>
      <w:r>
        <w:t xml:space="preserve">2,536.85</w:t>
      </w:r>
    </w:p>
    <w:p>
      <w:pPr>
        <w:pStyle w:val="BodyText"/>
      </w:pPr>
      <w:r>
        <w:t xml:space="preserve">≈ USD 708.42</w:t>
      </w:r>
    </w:p>
    <w:bookmarkStart w:id="24" w:name="payment-instructions"/>
    <w:p>
      <w:pPr>
        <w:pStyle w:val="Heading3"/>
      </w:pPr>
      <w:r>
        <w:t xml:space="preserve">Payment Instructions</w:t>
      </w:r>
    </w:p>
    <w:p>
      <w:pPr>
        <w:pStyle w:val="FirstParagraph"/>
      </w:pPr>
      <w:r>
        <w:rPr>
          <w:bCs/>
          <w:b/>
        </w:rPr>
        <w:t xml:space="preserve">Bank Transfer:</w:t>
      </w:r>
      <w:r>
        <w:t xml:space="preserve"> </w:t>
      </w:r>
      <w:r>
        <w:t xml:space="preserve">Bank of Tel Aviv, Branch 012, Account No. 001-456-789-012, IBAN: IL12 0120 0000 0000 4567890</w:t>
      </w:r>
    </w:p>
    <w:p>
      <w:pPr>
        <w:pStyle w:val="BodyText"/>
      </w:pPr>
      <w:r>
        <w:rPr>
          <w:bCs/>
          <w:b/>
        </w:rPr>
        <w:t xml:space="preserve">Credit/Debit Card:</w:t>
      </w:r>
      <w:r>
        <w:t xml:space="preserve"> </w:t>
      </w:r>
      <w:r>
        <w:t xml:space="preserve">Visa, Mastercard, American Express accepted in-studio</w:t>
      </w:r>
    </w:p>
    <w:p>
      <w:pPr>
        <w:pStyle w:val="BodyText"/>
      </w:pPr>
      <w:r>
        <w:rPr>
          <w:bCs/>
          <w:b/>
        </w:rPr>
        <w:t xml:space="preserve">Online Payment:</w:t>
      </w:r>
      <w:r>
        <w:t xml:space="preserve"> </w:t>
      </w:r>
      <w:r>
        <w:t xml:space="preserve">www.luxuryhairstudio.co.il/pay (reference: INV-2025-04872)</w:t>
      </w:r>
    </w:p>
    <w:p>
      <w:pPr>
        <w:pStyle w:val="BodyText"/>
      </w:pPr>
      <w:r>
        <w:rPr>
          <w:bCs/>
          <w:b/>
        </w:rPr>
        <w:t xml:space="preserve">Due Date:</w:t>
      </w:r>
      <w:r>
        <w:t xml:space="preserve"> </w:t>
      </w:r>
      <w:r>
        <w:t xml:space="preserve">30 June 2025. A late payment fee of 1.5% per month will apply to overdue balances as per Israeli consumer protection regulations.</w:t>
      </w:r>
    </w:p>
    <w:bookmarkEnd w:id="24"/>
    <w:bookmarkStart w:id="25" w:name="terms-conditions"/>
    <w:p>
      <w:pPr>
        <w:pStyle w:val="Heading3"/>
      </w:pPr>
      <w:r>
        <w:t xml:space="preserve">Terms &amp; Conditions</w:t>
      </w:r>
    </w:p>
    <w:p>
      <w:pPr>
        <w:numPr>
          <w:ilvl w:val="0"/>
          <w:numId w:val="1001"/>
        </w:numPr>
        <w:pStyle w:val="Compact"/>
      </w:pPr>
      <w:r>
        <w:t xml:space="preserve">This Invoice is issued by Luxury Hair Studio Tel Aviv, a registered Hairdresser and beauty services provider operating in Tel Aviv, Israel, in full compliance with the Israeli Ministry of Health regulations and the Ministry of Economy business licensing requirements.</w:t>
      </w:r>
    </w:p>
    <w:p>
      <w:pPr>
        <w:numPr>
          <w:ilvl w:val="0"/>
          <w:numId w:val="1001"/>
        </w:numPr>
        <w:pStyle w:val="Compact"/>
      </w:pPr>
      <w:r>
        <w:t xml:space="preserve">All services rendered by our Hairdresser team are subject to a minimum 24-hour cancellation notice. Late cancellations or no-shows will incur a 50% fee of the booked service value.</w:t>
      </w:r>
    </w:p>
    <w:p>
      <w:pPr>
        <w:numPr>
          <w:ilvl w:val="0"/>
          <w:numId w:val="1001"/>
        </w:numPr>
        <w:pStyle w:val="Compact"/>
      </w:pPr>
      <w:r>
        <w:t xml:space="preserve">The VAT rate of 18% applied on this Invoice is in accordance with the Israeli Value Added Tax Law, 5711-1975, as amended. The VAT registration number is displayed in the header of this document.</w:t>
      </w:r>
    </w:p>
    <w:p>
      <w:pPr>
        <w:numPr>
          <w:ilvl w:val="0"/>
          <w:numId w:val="1001"/>
        </w:numPr>
        <w:pStyle w:val="Compact"/>
      </w:pPr>
      <w:r>
        <w:t xml:space="preserve">Color and chemical treatment services (including balayage, highlights, and keratin treatments) carry a satisfaction guarantee of 72 hours from the date of service. Any color correction within this window will be addressed at no additional charge by the same Hairdresser.</w:t>
      </w:r>
    </w:p>
    <w:p>
      <w:pPr>
        <w:numPr>
          <w:ilvl w:val="0"/>
          <w:numId w:val="1001"/>
        </w:numPr>
        <w:pStyle w:val="Compact"/>
      </w:pPr>
      <w:r>
        <w:t xml:space="preserve">Payment is due within 14 calendar days from the date of this Invoice. This Hairdresser studio in Tel Aviv, Israel, reserves the right to suspend future appointments until outstanding balances are settled in full.</w:t>
      </w:r>
    </w:p>
    <w:p>
      <w:pPr>
        <w:numPr>
          <w:ilvl w:val="0"/>
          <w:numId w:val="1001"/>
        </w:numPr>
        <w:pStyle w:val="Compact"/>
      </w:pPr>
      <w:r>
        <w:t xml:space="preserve">All retail products purchased (Item #6) are final sale and non-returnable once opened, in accordance with Israeli consumer law. Unopened products may be returned within 14 days with this Invoice as proof of purchase.</w:t>
      </w:r>
    </w:p>
    <w:p>
      <w:pPr>
        <w:numPr>
          <w:ilvl w:val="0"/>
          <w:numId w:val="1001"/>
        </w:numPr>
        <w:pStyle w:val="Compact"/>
      </w:pPr>
      <w:r>
        <w:t xml:space="preserve">This Invoice constitutes a legally binding document under Israeli commercial law. Any disputes arising from this transaction shall be subject to the jurisdiction of the Tel Aviv District Courts, Israel.</w:t>
      </w:r>
    </w:p>
    <w:p>
      <w:pPr>
        <w:numPr>
          <w:ilvl w:val="0"/>
          <w:numId w:val="1001"/>
        </w:numPr>
        <w:pStyle w:val="Compact"/>
      </w:pPr>
      <w:r>
        <w:t xml:space="preserve">Client data processed on this Invoice is handled in accordance with the Israeli Privacy Protection Law, 5741-1981, and the EU General Data Protection Regulation (GDPR) where applicable.</w:t>
      </w:r>
    </w:p>
    <w:bookmarkEnd w:id="25"/>
    <w:p>
      <w:pPr>
        <w:pStyle w:val="FirstParagraph"/>
      </w:pPr>
      <w:r>
        <w:t xml:space="preserve">Note: This Invoice is valid for tax deduction purposes in Israel. Please retain this document for your personal records. For a duplicate copy, contact our front desk at +972-3-517-8899 or email billing@luxuryhairstudio.co.il. All amounts are denominated in New Israeli Shekels (NIS / ILS) unless otherwise stated.</w:t>
      </w:r>
    </w:p>
    <w:p>
      <w:pPr>
        <w:pStyle w:val="BodyText"/>
      </w:pPr>
      <w:r>
        <w:rPr>
          <w:bCs/>
          <w:b/>
        </w:rPr>
        <w:t xml:space="preserve">Luxury Hair Studio Tel Aviv</w:t>
      </w:r>
      <w:r>
        <w:t xml:space="preserve"> </w:t>
      </w:r>
      <w:r>
        <w:t xml:space="preserve">| 142 Allenby Street, Tel Aviv-Yafo, Israel 6612301</w:t>
      </w:r>
    </w:p>
    <w:p>
      <w:pPr>
        <w:pStyle w:val="BodyText"/>
      </w:pPr>
      <w:r>
        <w:t xml:space="preserve">Tel: +972-3-517-8899 | www.luxuryhairstudio.co.il | info@luxuryhairstudio.co.il</w:t>
      </w:r>
    </w:p>
    <w:p>
      <w:pPr>
        <w:pStyle w:val="BodyText"/>
      </w:pPr>
      <w:r>
        <w:t xml:space="preserve">Thank you for choosing our Hairdresser services in the heart of Tel Aviv, Israel. We look forward to serving you again.</w:t>
      </w:r>
    </w:p>
    <w:p>
      <w:pPr>
        <w:pStyle w:val="BodyText"/>
      </w:pPr>
      <w:r>
        <w:t xml:space="preserve">Invoice generated on 15 June 2025 | Page 1 of 1 | Document ID: INV-2025-04872-TELAVIV</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Hairdresser Tel Aviv, Israel</dc:title>
  <dc:creator/>
  <dc:language>en</dc:language>
  <cp:keywords/>
  <dcterms:created xsi:type="dcterms:W3CDTF">2026-10-10T04:48:13Z</dcterms:created>
  <dcterms:modified xsi:type="dcterms:W3CDTF">2026-10-10T04:48:13Z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