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luxe-cuts-hairdresser-studio"/>
    <w:p>
      <w:pPr>
        <w:pStyle w:val="Heading1"/>
      </w:pPr>
      <w:r>
        <w:t xml:space="preserve">Luxe Cuts Hairdresser Studio</w:t>
      </w:r>
    </w:p>
    <w:p>
      <w:pPr>
        <w:pStyle w:val="FirstParagraph"/>
      </w:pPr>
      <w:r>
        <w:t xml:space="preserve">Unit 12-04, The Gardens Mall, Mid Valley City</w:t>
      </w:r>
    </w:p>
    <w:p>
      <w:pPr>
        <w:pStyle w:val="BodyText"/>
      </w:pPr>
      <w:r>
        <w:t xml:space="preserve">Lingkaran Syed Putra, 59200 Malaysia Kuala Lumpur</w:t>
      </w:r>
    </w:p>
    <w:p>
      <w:pPr>
        <w:pStyle w:val="BodyText"/>
      </w:pPr>
      <w:r>
        <w:t xml:space="preserve">Tel: +60 3-2287 4561 | Email: billing@luxecuts.my</w:t>
      </w:r>
    </w:p>
    <w:p>
      <w:pPr>
        <w:pStyle w:val="BodyText"/>
      </w:pPr>
      <w:r>
        <w:t xml:space="preserve">Registration No: 201901045678 (Kuala Lumpur City Hall)</w:t>
      </w:r>
    </w:p>
    <w:p>
      <w:pPr>
        <w:pStyle w:val="BodyText"/>
      </w:pPr>
      <w:r>
        <w:t xml:space="preserve">SST Registration: 001234567890</w:t>
      </w:r>
    </w:p>
    <w:bookmarkEnd w:id="20"/>
    <w:bookmarkStart w:id="21" w:name="invoice"/>
    <w:p>
      <w:pPr>
        <w:pStyle w:val="Heading2"/>
      </w:pPr>
      <w:r>
        <w:t xml:space="preserve">INVOICE</w:t>
      </w:r>
    </w:p>
    <w:p>
      <w:pPr>
        <w:pStyle w:val="FirstParagraph"/>
      </w:pPr>
      <w:r>
        <w:t xml:space="preserve">Professional Hairdresser Services</w:t>
      </w:r>
    </w:p>
    <w:p>
      <w:pPr>
        <w:pStyle w:val="BodyText"/>
      </w:pPr>
      <w:r>
        <w:t xml:space="preserve">Invoice No: LC-2024-0847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Ms. Aisyah binti Rahman</w:t>
      </w:r>
    </w:p>
    <w:p>
      <w:pPr>
        <w:pStyle w:val="BodyText"/>
      </w:pPr>
      <w:r>
        <w:t xml:space="preserve">Flat 28-07, Residensi Damansara</w:t>
      </w:r>
    </w:p>
    <w:p>
      <w:pPr>
        <w:pStyle w:val="BodyText"/>
      </w:pPr>
      <w:r>
        <w:t xml:space="preserve">Jalan PJU 1/3, 47301 Petaling Jaya</w:t>
      </w:r>
    </w:p>
    <w:p>
      <w:pPr>
        <w:pStyle w:val="BodyText"/>
      </w:pPr>
      <w:r>
        <w:t xml:space="preserve">Malaysia Kuala Lumpur Metropolitan Area</w:t>
      </w:r>
    </w:p>
    <w:p>
      <w:pPr>
        <w:pStyle w:val="BodyText"/>
      </w:pPr>
      <w:r>
        <w:t xml:space="preserve">IC No: 890412-14-5567</w:t>
      </w:r>
    </w:p>
    <w:p>
      <w:pPr>
        <w:pStyle w:val="BodyText"/>
      </w:pPr>
      <w:r>
        <w:t xml:space="preserve">Mobile: +60 12-345 6789</w:t>
      </w:r>
    </w:p>
    <w:bookmarkEnd w:id="22"/>
    <w:bookmarkStart w:id="23" w:name="invoice-details"/>
    <w:p>
      <w:pPr>
        <w:pStyle w:val="Heading3"/>
      </w:pPr>
      <w:r>
        <w:t xml:space="preserve">Invoice Details</w:t>
      </w:r>
    </w:p>
    <w:p>
      <w:pPr>
        <w:pStyle w:val="FirstParagraph"/>
      </w:pPr>
      <w:r>
        <w:rPr>
          <w:bCs/>
          <w:b/>
        </w:rPr>
        <w:t xml:space="preserve">Hairdresser:</w:t>
      </w:r>
      <w:r>
        <w:t xml:space="preserve"> </w:t>
      </w:r>
      <w:r>
        <w:t xml:space="preserve">Senior Stylist Daniel Wong</w:t>
      </w:r>
    </w:p>
    <w:p>
      <w:pPr>
        <w:pStyle w:val="BodyText"/>
      </w:pPr>
      <w:r>
        <w:rPr>
          <w:bCs/>
          <w:b/>
        </w:rPr>
        <w:t xml:space="preserve">Service Date:</w:t>
      </w:r>
      <w:r>
        <w:t xml:space="preserve"> </w:t>
      </w:r>
      <w:r>
        <w:t xml:space="preserve">14 June 2025</w:t>
      </w:r>
    </w:p>
    <w:p>
      <w:pPr>
        <w:pStyle w:val="BodyText"/>
      </w:pPr>
      <w:r>
        <w:rPr>
          <w:bCs/>
          <w:b/>
        </w:rPr>
        <w:t xml:space="preserve">Appointment Ref:</w:t>
      </w:r>
      <w:r>
        <w:t xml:space="preserve"> </w:t>
      </w:r>
      <w:r>
        <w:t xml:space="preserve">APPT-2025-0614-003</w:t>
      </w:r>
    </w:p>
    <w:p>
      <w:pPr>
        <w:pStyle w:val="BodyText"/>
      </w:pPr>
      <w:r>
        <w:rPr>
          <w:bCs/>
          <w:b/>
        </w:rPr>
        <w:t xml:space="preserve">Payment Method:</w:t>
      </w:r>
      <w:r>
        <w:t xml:space="preserve"> </w:t>
      </w:r>
      <w:r>
        <w:t xml:space="preserve">Bank Transfer / DuitNow</w:t>
      </w:r>
    </w:p>
    <w:p>
      <w:pPr>
        <w:pStyle w:val="BodyText"/>
      </w:pPr>
      <w:r>
        <w:rPr>
          <w:bCs/>
          <w:b/>
        </w:rPr>
        <w:t xml:space="preserve">Bank:</w:t>
      </w:r>
      <w:r>
        <w:t xml:space="preserve"> </w:t>
      </w:r>
      <w:r>
        <w:t xml:space="preserve">Maybank, A/C 5123-4567-8901</w:t>
      </w:r>
    </w:p>
    <w:bookmarkEnd w:id="23"/>
    <w:p>
      <w:pPr>
        <w:pStyle w:val="BodyText"/>
      </w:pPr>
      <w:r>
        <w:t xml:space="preserve">Hairdresser Services Rendered – Malaysia Kuala Lumpur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Hairdresser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(RM)</w:t>
            </w:r>
          </w:p>
        </w:tc>
        <w:tc>
          <w:tcPr/>
          <w:p>
            <w:pPr>
              <w:pStyle w:val="Compact"/>
              <w:jc w:val="left"/>
            </w:pPr>
            <w:r>
              <w:t xml:space="preserve">Amount (RM)</w:t>
            </w:r>
          </w:p>
        </w:tc>
      </w:tr>
      <w:tr>
        <w:tc>
          <w:tcPr/>
          <w:p>
            <w:pPr>
              <w:pStyle w:val="Compact"/>
              <w:jc w:val="left"/>
            </w:pPr>
            <w:r>
              <w:t xml:space="preserve">01</w:t>
            </w:r>
          </w:p>
        </w:tc>
        <w:tc>
          <w:tcPr/>
          <w:p>
            <w:pPr>
              <w:pStyle w:val="Compact"/>
              <w:jc w:val="left"/>
            </w:pPr>
            <w:r>
              <w:t xml:space="preserve">Full Hairdresser Consultation &amp; Scalp Analysis – Comprehensive assessment of hair texture, density, and scalp condition by our senior Hairdresser in Malaysia Kuala Lumpur</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Premium Hairdresser Cut &amp; Style – Precision layering, face-framing highlights, and blow-dry finish using professional L'Oréal products</w:t>
            </w:r>
          </w:p>
        </w:tc>
        <w:tc>
          <w:tcPr/>
          <w:p>
            <w:pPr>
              <w:pStyle w:val="Compact"/>
              <w:jc w:val="left"/>
            </w:pPr>
            <w:r>
              <w:t xml:space="preserve">90 min</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03</w:t>
            </w:r>
          </w:p>
        </w:tc>
        <w:tc>
          <w:tcPr/>
          <w:p>
            <w:pPr>
              <w:pStyle w:val="Compact"/>
              <w:jc w:val="left"/>
            </w:pPr>
            <w:r>
              <w:t xml:space="preserve">Professional Hairdresser Colour Treatment – Full head balayage with Olaplex bond repair, including pre-treatment conditioning and post-colour gloss</w:t>
            </w:r>
          </w:p>
        </w:tc>
        <w:tc>
          <w:tcPr/>
          <w:p>
            <w:pPr>
              <w:pStyle w:val="Compact"/>
              <w:jc w:val="left"/>
            </w:pPr>
            <w:r>
              <w:t xml:space="preserve">120 min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Hairdresser Deep Conditioning &amp; Keratin Smoothing Treatment – Intensive moisture restoration and frizz control for long-term smoothness</w:t>
            </w:r>
          </w:p>
        </w:tc>
        <w:tc>
          <w:tcPr/>
          <w:p>
            <w:pPr>
              <w:pStyle w:val="Compact"/>
              <w:jc w:val="left"/>
            </w:pPr>
            <w:r>
              <w:t xml:space="preserve">60 min</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Hairdresser Eyebrow Shaping &amp; Tint – Complementary facial framing service included with premium Hairdresser packages in Malaysia Kuala Lumpur</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06</w:t>
            </w:r>
          </w:p>
        </w:tc>
        <w:tc>
          <w:tcPr/>
          <w:p>
            <w:pPr>
              <w:pStyle w:val="Compact"/>
              <w:jc w:val="left"/>
            </w:pPr>
            <w:r>
              <w:t xml:space="preserve">Take-Home Hairdresser Product Set – Olaplex No.4 Bond Maintenance Shampoo (250ml), No.5 Conditioner (250ml), and No.7 Bonding Oil (100ml)</w:t>
            </w:r>
          </w:p>
        </w:tc>
        <w:tc>
          <w:tcPr/>
          <w:p>
            <w:pPr>
              <w:pStyle w:val="Compact"/>
              <w:jc w:val="left"/>
            </w:pPr>
            <w:r>
              <w:t xml:space="preserve">N/A</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1,525.00</w:t>
            </w:r>
          </w:p>
        </w:tc>
      </w:tr>
      <w:tr>
        <w:tc>
          <w:tcPr/>
          <w:p>
            <w:pPr>
              <w:pStyle w:val="Compact"/>
              <w:jc w:val="left"/>
            </w:pPr>
            <w:r>
              <w:t xml:space="preserve">Loyalty Discount (10% – Gold Member)</w:t>
            </w:r>
          </w:p>
        </w:tc>
        <w:tc>
          <w:tcPr/>
          <w:p>
            <w:pPr>
              <w:pStyle w:val="Compact"/>
              <w:jc w:val="left"/>
            </w:pPr>
            <w:r>
              <w:t xml:space="preserve">- RM 152.50</w:t>
            </w:r>
          </w:p>
        </w:tc>
      </w:tr>
      <w:tr>
        <w:tc>
          <w:tcPr/>
          <w:p>
            <w:pPr>
              <w:pStyle w:val="Compact"/>
              <w:jc w:val="left"/>
            </w:pPr>
            <w:r>
              <w:t xml:space="preserve">Adjustment</w:t>
            </w:r>
          </w:p>
        </w:tc>
        <w:tc>
          <w:tcPr/>
          <w:p>
            <w:pPr>
              <w:pStyle w:val="Compact"/>
              <w:jc w:val="left"/>
            </w:pPr>
            <w:r>
              <w:t xml:space="preserve">RM 1,372.50</w:t>
            </w:r>
          </w:p>
        </w:tc>
      </w:tr>
      <w:tr>
        <w:tc>
          <w:tcPr/>
          <w:p>
            <w:pPr>
              <w:pStyle w:val="Compact"/>
              <w:jc w:val="left"/>
            </w:pPr>
            <w:r>
              <w:t xml:space="preserve">SST @ 6% (Sales &amp; Service Tax, Malaysia)</w:t>
            </w:r>
          </w:p>
        </w:tc>
        <w:tc>
          <w:tcPr/>
          <w:p>
            <w:pPr>
              <w:pStyle w:val="Compact"/>
              <w:jc w:val="left"/>
            </w:pPr>
            <w:r>
              <w:t xml:space="preserve">RM 82.35</w:t>
            </w:r>
          </w:p>
        </w:tc>
      </w:tr>
      <w:tr>
        <w:tc>
          <w:tcPr/>
          <w:p>
            <w:pPr>
              <w:pStyle w:val="Compact"/>
              <w:jc w:val="left"/>
            </w:pPr>
            <w:r>
              <w:t xml:space="preserve">TOTAL PAYABLE</w:t>
            </w:r>
          </w:p>
        </w:tc>
        <w:tc>
          <w:tcPr/>
          <w:p>
            <w:pPr>
              <w:pStyle w:val="Compact"/>
              <w:jc w:val="left"/>
            </w:pPr>
            <w:r>
              <w:t xml:space="preserve">RM 1,454.85</w:t>
            </w:r>
          </w:p>
        </w:tc>
      </w:tr>
    </w:tbl>
    <w:p>
      <w:pPr>
        <w:pStyle w:val="BodyText"/>
      </w:pPr>
      <w:r>
        <w:t xml:space="preserve">Payment Terms &amp; Conditions</w:t>
      </w:r>
    </w:p>
    <w:p>
      <w:pPr>
        <w:pStyle w:val="BodyText"/>
      </w:pPr>
      <w:r>
        <w:t xml:space="preserve">1. This Invoice is issued by Luxe Cuts Hairdresser Studio, a registered Hairdresser and beauty services establishment operating in Malaysia Kuala Lumpur. All services listed herein were rendered at our premises located at The Gardens Mall, Mid Valley City, Malaysia Kuala Lumpur.</w:t>
      </w:r>
    </w:p>
    <w:p>
      <w:pPr>
        <w:pStyle w:val="BodyText"/>
      </w:pPr>
      <w:r>
        <w:t xml:space="preserve">2. Full payment of RM 1,454.85 (One Thousand Four Hundred Fifty-Four Ringgit and Eighty-Five Sen) is due within fourteen (14) calendar days from the date of this Invoice. Payment may be made via bank transfer to the Maybank account specified above, DuitNow QR, or major credit/debit cards (Visa, Mastercard, Amex) with a 2% surcharge applied for card transactions.</w:t>
      </w:r>
    </w:p>
    <w:p>
      <w:pPr>
        <w:pStyle w:val="BodyText"/>
      </w:pPr>
      <w:r>
        <w:t xml:space="preserve">3. Late payments exceeding the due date will incur a penalty of 5% per month on the outstanding balance, in accordance with the Consumer Protection Act 1999 (Malaysia) and the terms agreed upon at the time of booking with our Hairdresser team.</w:t>
      </w:r>
    </w:p>
    <w:p>
      <w:pPr>
        <w:pStyle w:val="BodyText"/>
      </w:pPr>
      <w:r>
        <w:t xml:space="preserve">4. All Hairdresser services are subject to a 48-hour cancellation policy. No refunds will be issued for services already commenced. This Invoice reflects services that have been fully completed and accepted by the client.</w:t>
      </w:r>
    </w:p>
    <w:p>
      <w:pPr>
        <w:pStyle w:val="BodyText"/>
      </w:pPr>
      <w:r>
        <w:t xml:space="preserve">5. The Hairdresser colour and keratin treatments are guaranteed for a period of six (6) weeks from the service date. Any visible colour fading or treatment failure within this period, under normal home-care conditions, will be addressed by our Hairdresser at no additional charge. Please retain this Invoice as proof of service.</w:t>
      </w:r>
    </w:p>
    <w:p>
      <w:pPr>
        <w:pStyle w:val="BodyText"/>
      </w:pPr>
      <w:r>
        <w:t xml:space="preserve">6. This Invoice does not constitute a warranty beyond the scope described above. The Hairdresser studio in Malaysia Kuala Lumpur is not liable for allergic reactions or adverse responses to products applied, provided the client has disclosed all known allergies during the initial Hairdresser consultation.</w:t>
      </w:r>
    </w:p>
    <w:p>
      <w:pPr>
        <w:pStyle w:val="BodyText"/>
      </w:pPr>
      <w:r>
        <w:t xml:space="preserve">7. All personal data collected for this Invoice and service record is processed in compliance with the Personal Data Protection Act 2010 (PDPA) of Malaysia. Your information will be used solely for billing, service follow-up, and loyalty programme purposes.</w:t>
      </w:r>
    </w:p>
    <w:p>
      <w:pPr>
        <w:pStyle w:val="BodyText"/>
      </w:pPr>
      <w:r>
        <w:t xml:space="preserve">8. For any disputes regarding this Invoice or the Hairdresser services rendered, please contact our customer relations team at billing@luxecuts.my or visit our Malaysia Kuala Lumpur studio during business hours (Monday to Saturday, 10:00 AM – 9:00 PM; Sunday, 12:00 PM – 7:00 PM).</w:t>
      </w:r>
    </w:p>
    <w:p>
      <w:pPr>
        <w:pStyle w:val="BodyText"/>
      </w:pPr>
      <w:r>
        <w:t xml:space="preserve">Notes</w:t>
      </w:r>
    </w:p>
    <w:p>
      <w:pPr>
        <w:pStyle w:val="BodyText"/>
      </w:pPr>
      <w:r>
        <w:t xml:space="preserve">Thank you for choosing Luxe Cuts Hairdresser Studio in Malaysia Kuala Lumpur for your premium hair care needs. Your next recommended Hairdresser maintenance appointment is 12 August 2025. Please book via our WhatsApp line (+60 12-345 6789) or through the Luxe Cuts mobile application. As a Gold Loyalty member, you are entitled to one complimentary Hairdresser blow-dry and style per month at any of our Malaysia Kuala Lumpur locations. This Invoice is valid for accounting and tax purposes in Malaysia. Please retain a copy for your records.</w:t>
      </w:r>
    </w:p>
    <w:p>
      <w:pPr>
        <w:pStyle w:val="BodyText"/>
      </w:pPr>
      <w:r>
        <w:rPr>
          <w:bCs/>
          <w:b/>
        </w:rPr>
        <w:t xml:space="preserve">Luxe Cuts Hairdresser Studio</w:t>
      </w:r>
      <w:r>
        <w:t xml:space="preserve"> </w:t>
      </w:r>
      <w:r>
        <w:t xml:space="preserve">| Unit 12-04, The Gardens Mall, Mid Valley City, 59200 Malaysia Kuala Lumpur</w:t>
      </w:r>
    </w:p>
    <w:p>
      <w:pPr>
        <w:pStyle w:val="BodyText"/>
      </w:pPr>
      <w:r>
        <w:t xml:space="preserve">Registration: 201901045678 | SST: 001234567890 | This Invoice was generated electronically and is valid without a physical signature.</w:t>
      </w:r>
    </w:p>
    <w:p>
      <w:pPr>
        <w:pStyle w:val="BodyText"/>
      </w:pPr>
      <w:r>
        <w:t xml:space="preserve">Page 1 of 1 | Invoice LC-2024-0847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Malaysia Kuala Lumpur</dc:title>
  <dc:creator/>
  <dc:language>en</dc:language>
  <cp:keywords/>
  <dcterms:created xsi:type="dcterms:W3CDTF">2026-10-10T03:55:13Z</dcterms:created>
  <dcterms:modified xsi:type="dcterms:W3CDTF">2026-10-10T03:55:13Z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