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Hairdresser</w:t>
      </w:r>
      <w:r>
        <w:t xml:space="preserve"> </w:t>
      </w:r>
      <w:r>
        <w:t xml:space="preserve">Services</w:t>
      </w:r>
      <w:r>
        <w:t xml:space="preserve"> </w:t>
      </w:r>
      <w:r>
        <w:t xml:space="preserve">-</w:t>
      </w:r>
      <w:r>
        <w:t xml:space="preserve"> </w:t>
      </w:r>
      <w:r>
        <w:t xml:space="preserve">Peru</w:t>
      </w:r>
      <w:r>
        <w:t xml:space="preserve"> </w:t>
      </w:r>
      <w:r>
        <w:t xml:space="preserve">Lima</w:t>
      </w:r>
    </w:p>
    <w:bookmarkStart w:id="20" w:name="salón-estética-bella-lima"/>
    <w:p>
      <w:pPr>
        <w:pStyle w:val="Heading1"/>
      </w:pPr>
      <w:r>
        <w:t xml:space="preserve">Salón &amp; Estética Bella Lima</w:t>
      </w:r>
    </w:p>
    <w:p>
      <w:pPr>
        <w:pStyle w:val="FirstParagraph"/>
      </w:pPr>
      <w:r>
        <w:t xml:space="preserve">Hairdresser &amp; Beauty Studio</w:t>
      </w:r>
    </w:p>
    <w:p>
      <w:pPr>
        <w:pStyle w:val="BodyText"/>
      </w:pPr>
      <w:r>
        <w:t xml:space="preserve">Av. Javier Prado Este 1245, San Isidro</w:t>
      </w:r>
    </w:p>
    <w:p>
      <w:pPr>
        <w:pStyle w:val="BodyText"/>
      </w:pPr>
      <w:r>
        <w:t xml:space="preserve">Lima, Peru – Postal Code 15077</w:t>
      </w:r>
    </w:p>
    <w:p>
      <w:pPr>
        <w:pStyle w:val="BodyText"/>
      </w:pPr>
      <w:r>
        <w:t xml:space="preserve">RUC: 20587432196</w:t>
      </w:r>
    </w:p>
    <w:p>
      <w:pPr>
        <w:pStyle w:val="BodyText"/>
      </w:pPr>
      <w:r>
        <w:t xml:space="preserve">Phone: +51 1 456 7890</w:t>
      </w:r>
    </w:p>
    <w:p>
      <w:pPr>
        <w:pStyle w:val="BodyText"/>
      </w:pPr>
      <w:r>
        <w:t xml:space="preserve">Email: billing@bellalima.pe</w:t>
      </w:r>
    </w:p>
    <w:bookmarkEnd w:id="20"/>
    <w:bookmarkStart w:id="21" w:name="invoice"/>
    <w:p>
      <w:pPr>
        <w:pStyle w:val="Heading2"/>
      </w:pPr>
      <w:r>
        <w:t xml:space="preserve">INVOICE</w:t>
      </w:r>
    </w:p>
    <w:p>
      <w:pPr>
        <w:pStyle w:val="FirstParagraph"/>
      </w:pPr>
      <w:r>
        <w:t xml:space="preserve">Invoice No.: BL-2025-00487</w:t>
      </w:r>
    </w:p>
    <w:p>
      <w:pPr>
        <w:pStyle w:val="BodyText"/>
      </w:pPr>
      <w:r>
        <w:t xml:space="preserve">Issue Date: June 15, 2025</w:t>
      </w:r>
    </w:p>
    <w:p>
      <w:pPr>
        <w:pStyle w:val="BodyText"/>
      </w:pPr>
      <w:r>
        <w:t xml:space="preserve">Due Date: June 30, 2025</w:t>
      </w:r>
    </w:p>
    <w:bookmarkEnd w:id="21"/>
    <w:bookmarkStart w:id="22" w:name="billed-to-client"/>
    <w:p>
      <w:pPr>
        <w:pStyle w:val="Heading3"/>
      </w:pPr>
      <w:r>
        <w:t xml:space="preserve">Billed To (Client)</w:t>
      </w:r>
    </w:p>
    <w:p>
      <w:pPr>
        <w:pStyle w:val="FirstParagraph"/>
      </w:pPr>
      <w:r>
        <w:rPr>
          <w:bCs/>
          <w:b/>
        </w:rPr>
        <w:t xml:space="preserve">Name:</w:t>
      </w:r>
      <w:r>
        <w:t xml:space="preserve"> </w:t>
      </w:r>
      <w:r>
        <w:t xml:space="preserve">María Fernanda Quispe Rojas</w:t>
      </w:r>
    </w:p>
    <w:p>
      <w:pPr>
        <w:pStyle w:val="BodyText"/>
      </w:pPr>
      <w:r>
        <w:rPr>
          <w:bCs/>
          <w:b/>
        </w:rPr>
        <w:t xml:space="preserve">Document No. (DNI):</w:t>
      </w:r>
      <w:r>
        <w:t xml:space="preserve"> </w:t>
      </w:r>
      <w:r>
        <w:t xml:space="preserve">45872316</w:t>
      </w:r>
    </w:p>
    <w:p>
      <w:pPr>
        <w:pStyle w:val="BodyText"/>
      </w:pPr>
      <w:r>
        <w:rPr>
          <w:bCs/>
          <w:b/>
        </w:rPr>
        <w:t xml:space="preserve">Address:</w:t>
      </w:r>
      <w:r>
        <w:t xml:space="preserve"> </w:t>
      </w:r>
      <w:r>
        <w:t xml:space="preserve">Jr. Los Pinos 382, Dpto. 504</w:t>
      </w:r>
    </w:p>
    <w:p>
      <w:pPr>
        <w:pStyle w:val="BodyText"/>
      </w:pPr>
      <w:r>
        <w:t xml:space="preserve">San Borja, Lima, Peru</w:t>
      </w:r>
    </w:p>
    <w:p>
      <w:pPr>
        <w:pStyle w:val="BodyText"/>
      </w:pPr>
      <w:r>
        <w:rPr>
          <w:bCs/>
          <w:b/>
        </w:rPr>
        <w:t xml:space="preserve">Phone:</w:t>
      </w:r>
      <w:r>
        <w:t xml:space="preserve"> </w:t>
      </w:r>
      <w:r>
        <w:t xml:space="preserve">+51 987 654 321</w:t>
      </w:r>
    </w:p>
    <w:p>
      <w:pPr>
        <w:pStyle w:val="BodyText"/>
      </w:pPr>
      <w:r>
        <w:rPr>
          <w:bCs/>
          <w:b/>
        </w:rPr>
        <w:t xml:space="preserve">Email:</w:t>
      </w:r>
      <w:r>
        <w:t xml:space="preserve"> </w:t>
      </w:r>
      <w:r>
        <w:t xml:space="preserve">mfer.quispe@gmail.com</w:t>
      </w:r>
    </w:p>
    <w:bookmarkEnd w:id="22"/>
    <w:bookmarkStart w:id="23" w:name="hairdresser-assigned"/>
    <w:p>
      <w:pPr>
        <w:pStyle w:val="Heading3"/>
      </w:pPr>
      <w:r>
        <w:t xml:space="preserve">Hairdresser Assigned</w:t>
      </w:r>
    </w:p>
    <w:p>
      <w:pPr>
        <w:pStyle w:val="FirstParagraph"/>
      </w:pPr>
      <w:r>
        <w:rPr>
          <w:bCs/>
          <w:b/>
        </w:rPr>
        <w:t xml:space="preserve">Lead Hairdresser:</w:t>
      </w:r>
      <w:r>
        <w:t xml:space="preserve"> </w:t>
      </w:r>
      <w:r>
        <w:t xml:space="preserve">Carlos Mendoza Huamán</w:t>
      </w:r>
    </w:p>
    <w:p>
      <w:pPr>
        <w:pStyle w:val="BodyText"/>
      </w:pPr>
      <w:r>
        <w:rPr>
          <w:bCs/>
          <w:b/>
        </w:rPr>
        <w:t xml:space="preserve">Specialization:</w:t>
      </w:r>
      <w:r>
        <w:t xml:space="preserve"> </w:t>
      </w:r>
      <w:r>
        <w:t xml:space="preserve">Color, Cuts &amp; Styling</w:t>
      </w:r>
    </w:p>
    <w:p>
      <w:pPr>
        <w:pStyle w:val="BodyText"/>
      </w:pPr>
      <w:r>
        <w:rPr>
          <w:bCs/>
          <w:b/>
        </w:rPr>
        <w:t xml:space="preserve">Assistant:</w:t>
      </w:r>
      <w:r>
        <w:t xml:space="preserve"> </w:t>
      </w:r>
      <w:r>
        <w:t xml:space="preserve">Lucía Torres Vega</w:t>
      </w:r>
    </w:p>
    <w:p>
      <w:pPr>
        <w:pStyle w:val="BodyText"/>
      </w:pPr>
      <w:r>
        <w:rPr>
          <w:bCs/>
          <w:b/>
        </w:rPr>
        <w:t xml:space="preserve">Service Date:</w:t>
      </w:r>
      <w:r>
        <w:t xml:space="preserve"> </w:t>
      </w:r>
      <w:r>
        <w:t xml:space="preserve">June 14, 2025</w:t>
      </w:r>
    </w:p>
    <w:p>
      <w:pPr>
        <w:pStyle w:val="BodyText"/>
      </w:pPr>
      <w:r>
        <w:rPr>
          <w:bCs/>
          <w:b/>
        </w:rPr>
        <w:t xml:space="preserve">Duration:</w:t>
      </w:r>
      <w:r>
        <w:t xml:space="preserve"> </w:t>
      </w:r>
      <w:r>
        <w:t xml:space="preserve">3 hours 45 minutes</w:t>
      </w:r>
    </w:p>
    <w:p>
      <w:pPr>
        <w:pStyle w:val="BodyText"/>
      </w:pPr>
      <w:r>
        <w:rPr>
          <w:bCs/>
          <w:b/>
        </w:rPr>
        <w:t xml:space="preserve">Appointment Ref:</w:t>
      </w:r>
      <w:r>
        <w:t xml:space="preserve"> </w:t>
      </w:r>
      <w:r>
        <w:t xml:space="preserve">APPT-2025-0614-03</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Hairdresser Service Description</w:t>
            </w:r>
          </w:p>
        </w:tc>
        <w:tc>
          <w:tcPr/>
          <w:p>
            <w:pPr>
              <w:pStyle w:val="Compact"/>
              <w:jc w:val="left"/>
            </w:pPr>
            <w:r>
              <w:t xml:space="preserve">Product / Material</w:t>
            </w:r>
          </w:p>
        </w:tc>
        <w:tc>
          <w:tcPr/>
          <w:p>
            <w:pPr>
              <w:pStyle w:val="Compact"/>
              <w:jc w:val="left"/>
            </w:pPr>
            <w:r>
              <w:t xml:space="preserve">Qty</w:t>
            </w:r>
          </w:p>
        </w:tc>
        <w:tc>
          <w:tcPr/>
          <w:p>
            <w:pPr>
              <w:pStyle w:val="Compact"/>
              <w:jc w:val="left"/>
            </w:pPr>
            <w:r>
              <w:t xml:space="preserve">Unit Price (S/)</w:t>
            </w:r>
          </w:p>
        </w:tc>
        <w:tc>
          <w:tcPr/>
          <w:p>
            <w:pPr>
              <w:pStyle w:val="Compact"/>
              <w:jc w:val="left"/>
            </w:pPr>
            <w:r>
              <w:t xml:space="preserve">Subtotal (S/)</w:t>
            </w:r>
          </w:p>
        </w:tc>
      </w:tr>
      <w:tr>
        <w:tc>
          <w:tcPr/>
          <w:p>
            <w:pPr>
              <w:pStyle w:val="Compact"/>
              <w:jc w:val="left"/>
            </w:pPr>
            <w:r>
              <w:t xml:space="preserve">1</w:t>
            </w:r>
          </w:p>
        </w:tc>
        <w:tc>
          <w:tcPr/>
          <w:p>
            <w:pPr>
              <w:pStyle w:val="Compact"/>
              <w:jc w:val="left"/>
            </w:pPr>
            <w:r>
              <w:t xml:space="preserve">Full hair cut and precision styling by senior Hairdresser</w:t>
            </w:r>
          </w:p>
        </w:tc>
        <w:tc>
          <w:tcPr/>
          <w:p>
            <w:pPr>
              <w:pStyle w:val="Compact"/>
              <w:jc w:val="left"/>
            </w:pPr>
            <w:r>
              <w:t xml:space="preserve">Professional scissors &amp; clippers</w:t>
            </w:r>
          </w:p>
        </w:tc>
        <w:tc>
          <w:tcPr/>
          <w:p>
            <w:pPr>
              <w:pStyle w:val="Compact"/>
              <w:jc w:val="left"/>
            </w:pPr>
            <w:r>
              <w:t xml:space="preserve">1</w:t>
            </w:r>
          </w:p>
        </w:tc>
        <w:tc>
          <w:tcPr/>
          <w:p>
            <w:pPr>
              <w:pStyle w:val="Compact"/>
              <w:jc w:val="left"/>
            </w:pPr>
            <w:r>
              <w:t xml:space="preserve">180.00</w:t>
            </w:r>
          </w:p>
        </w:tc>
        <w:tc>
          <w:tcPr/>
          <w:p>
            <w:pPr>
              <w:pStyle w:val="Compact"/>
              <w:jc w:val="left"/>
            </w:pPr>
            <w:r>
              <w:t xml:space="preserve">180.00</w:t>
            </w:r>
          </w:p>
        </w:tc>
      </w:tr>
      <w:tr>
        <w:tc>
          <w:tcPr/>
          <w:p>
            <w:pPr>
              <w:pStyle w:val="Compact"/>
              <w:jc w:val="left"/>
            </w:pPr>
            <w:r>
              <w:t xml:space="preserve">2</w:t>
            </w:r>
          </w:p>
        </w:tc>
        <w:tc>
          <w:tcPr/>
          <w:p>
            <w:pPr>
              <w:pStyle w:val="Compact"/>
              <w:jc w:val="left"/>
            </w:pPr>
            <w:r>
              <w:t xml:space="preserve">Full head color application (balayage technique) with premium ammonia-free dye</w:t>
            </w:r>
          </w:p>
        </w:tc>
        <w:tc>
          <w:tcPr/>
          <w:p>
            <w:pPr>
              <w:pStyle w:val="Compact"/>
              <w:jc w:val="left"/>
            </w:pPr>
            <w:r>
              <w:t xml:space="preserve">L'Oréal Professionnel Dye Kit</w:t>
            </w:r>
          </w:p>
        </w:tc>
        <w:tc>
          <w:tcPr/>
          <w:p>
            <w:pPr>
              <w:pStyle w:val="Compact"/>
              <w:jc w:val="left"/>
            </w:pPr>
            <w:r>
              <w:t xml:space="preserve">1</w:t>
            </w:r>
          </w:p>
        </w:tc>
        <w:tc>
          <w:tcPr/>
          <w:p>
            <w:pPr>
              <w:pStyle w:val="Compact"/>
              <w:jc w:val="left"/>
            </w:pPr>
            <w:r>
              <w:t xml:space="preserve">450.00</w:t>
            </w:r>
          </w:p>
        </w:tc>
        <w:tc>
          <w:tcPr/>
          <w:p>
            <w:pPr>
              <w:pStyle w:val="Compact"/>
              <w:jc w:val="left"/>
            </w:pPr>
            <w:r>
              <w:t xml:space="preserve">450.00</w:t>
            </w:r>
          </w:p>
        </w:tc>
      </w:tr>
      <w:tr>
        <w:tc>
          <w:tcPr/>
          <w:p>
            <w:pPr>
              <w:pStyle w:val="Compact"/>
              <w:jc w:val="left"/>
            </w:pPr>
            <w:r>
              <w:t xml:space="preserve">3</w:t>
            </w:r>
          </w:p>
        </w:tc>
        <w:tc>
          <w:tcPr/>
          <w:p>
            <w:pPr>
              <w:pStyle w:val="Compact"/>
              <w:jc w:val="left"/>
            </w:pPr>
            <w:r>
              <w:t xml:space="preserve">Deep conditioning treatment and keratin repair mask</w:t>
            </w:r>
          </w:p>
        </w:tc>
        <w:tc>
          <w:tcPr/>
          <w:p>
            <w:pPr>
              <w:pStyle w:val="Compact"/>
              <w:jc w:val="left"/>
            </w:pPr>
            <w:r>
              <w:t xml:space="preserve">Wella SP Luxe Oil Treatment</w:t>
            </w:r>
          </w:p>
        </w:tc>
        <w:tc>
          <w:tcPr/>
          <w:p>
            <w:pPr>
              <w:pStyle w:val="Compact"/>
              <w:jc w:val="left"/>
            </w:pPr>
            <w:r>
              <w:t xml:space="preserve">1</w:t>
            </w:r>
          </w:p>
        </w:tc>
        <w:tc>
          <w:tcPr/>
          <w:p>
            <w:pPr>
              <w:pStyle w:val="Compact"/>
              <w:jc w:val="left"/>
            </w:pPr>
            <w:r>
              <w:t xml:space="preserve">220.00</w:t>
            </w:r>
          </w:p>
        </w:tc>
        <w:tc>
          <w:tcPr/>
          <w:p>
            <w:pPr>
              <w:pStyle w:val="Compact"/>
              <w:jc w:val="left"/>
            </w:pPr>
            <w:r>
              <w:t xml:space="preserve">220.00</w:t>
            </w:r>
          </w:p>
        </w:tc>
      </w:tr>
      <w:tr>
        <w:tc>
          <w:tcPr/>
          <w:p>
            <w:pPr>
              <w:pStyle w:val="Compact"/>
              <w:jc w:val="left"/>
            </w:pPr>
            <w:r>
              <w:t xml:space="preserve">4</w:t>
            </w:r>
          </w:p>
        </w:tc>
        <w:tc>
          <w:tcPr/>
          <w:p>
            <w:pPr>
              <w:pStyle w:val="Compact"/>
              <w:jc w:val="left"/>
            </w:pPr>
            <w:r>
              <w:t xml:space="preserve">Scalp exfoliation and aromatherapy head massage (30 min)</w:t>
            </w:r>
          </w:p>
        </w:tc>
        <w:tc>
          <w:tcPr/>
          <w:p>
            <w:pPr>
              <w:pStyle w:val="Compact"/>
              <w:jc w:val="left"/>
            </w:pPr>
            <w:r>
              <w:t xml:space="preserve">Organic scalp scrub – Peru Lima local botanicals</w:t>
            </w:r>
          </w:p>
        </w:tc>
        <w:tc>
          <w:tcPr/>
          <w:p>
            <w:pPr>
              <w:pStyle w:val="Compact"/>
              <w:jc w:val="left"/>
            </w:pPr>
            <w:r>
              <w:t xml:space="preserve">1</w:t>
            </w:r>
          </w:p>
        </w:tc>
        <w:tc>
          <w:tcPr/>
          <w:p>
            <w:pPr>
              <w:pStyle w:val="Compact"/>
              <w:jc w:val="left"/>
            </w:pPr>
            <w:r>
              <w:t xml:space="preserve">120.00</w:t>
            </w:r>
          </w:p>
        </w:tc>
        <w:tc>
          <w:tcPr/>
          <w:p>
            <w:pPr>
              <w:pStyle w:val="Compact"/>
              <w:jc w:val="left"/>
            </w:pPr>
            <w:r>
              <w:t xml:space="preserve">120.00</w:t>
            </w:r>
          </w:p>
        </w:tc>
      </w:tr>
      <w:tr>
        <w:tc>
          <w:tcPr/>
          <w:p>
            <w:pPr>
              <w:pStyle w:val="Compact"/>
              <w:jc w:val="left"/>
            </w:pPr>
            <w:r>
              <w:t xml:space="preserve">5</w:t>
            </w:r>
          </w:p>
        </w:tc>
        <w:tc>
          <w:tcPr/>
          <w:p>
            <w:pPr>
              <w:pStyle w:val="Compact"/>
              <w:jc w:val="left"/>
            </w:pPr>
            <w:r>
              <w:t xml:space="preserve">Blow-dry, heat styling, and finishing with professional products</w:t>
            </w:r>
          </w:p>
        </w:tc>
        <w:tc>
          <w:tcPr/>
          <w:p>
            <w:pPr>
              <w:pStyle w:val="Compact"/>
              <w:jc w:val="left"/>
            </w:pPr>
            <w:r>
              <w:t xml:space="preserve">Heat protectant spray &amp; finishing serum</w:t>
            </w:r>
          </w:p>
        </w:tc>
        <w:tc>
          <w:tcPr/>
          <w:p>
            <w:pPr>
              <w:pStyle w:val="Compact"/>
              <w:jc w:val="left"/>
            </w:pPr>
            <w:r>
              <w:t xml:space="preserve">1</w:t>
            </w:r>
          </w:p>
        </w:tc>
        <w:tc>
          <w:tcPr/>
          <w:p>
            <w:pPr>
              <w:pStyle w:val="Compact"/>
              <w:jc w:val="left"/>
            </w:pPr>
            <w:r>
              <w:t xml:space="preserve">95.00</w:t>
            </w:r>
          </w:p>
        </w:tc>
        <w:tc>
          <w:tcPr/>
          <w:p>
            <w:pPr>
              <w:pStyle w:val="Compact"/>
              <w:jc w:val="left"/>
            </w:pPr>
            <w:r>
              <w:t xml:space="preserve">95.00</w:t>
            </w:r>
          </w:p>
        </w:tc>
      </w:tr>
      <w:tr>
        <w:tc>
          <w:tcPr/>
          <w:p>
            <w:pPr>
              <w:pStyle w:val="Compact"/>
              <w:jc w:val="left"/>
            </w:pPr>
            <w:r>
              <w:t xml:space="preserve">6</w:t>
            </w:r>
          </w:p>
        </w:tc>
        <w:tc>
          <w:tcPr/>
          <w:p>
            <w:pPr>
              <w:pStyle w:val="Compact"/>
              <w:jc w:val="left"/>
            </w:pPr>
            <w:r>
              <w:t xml:space="preserve">Complimentary consultation and aftercare guidance by the Hairdresser</w:t>
            </w:r>
          </w:p>
        </w:tc>
        <w:tc>
          <w:tcPr/>
          <w:p>
            <w:pPr>
              <w:pStyle w:val="Compact"/>
              <w:jc w:val="left"/>
            </w:pPr>
            <w:r>
              <w:t xml:space="preserve">—</w:t>
            </w:r>
          </w:p>
        </w:tc>
        <w:tc>
          <w:tcPr/>
          <w:p>
            <w:pPr>
              <w:pStyle w:val="Compact"/>
              <w:jc w:val="left"/>
            </w:pPr>
            <w:r>
              <w:t xml:space="preserve">1</w:t>
            </w:r>
          </w:p>
        </w:tc>
        <w:tc>
          <w:tcPr/>
          <w:p>
            <w:pPr>
              <w:pStyle w:val="Compact"/>
              <w:jc w:val="left"/>
            </w:pPr>
            <w:r>
              <w:t xml:space="preserve">0.00</w:t>
            </w:r>
          </w:p>
        </w:tc>
        <w:tc>
          <w:tcPr/>
          <w:p>
            <w:pPr>
              <w:pStyle w:val="Compact"/>
              <w:jc w:val="left"/>
            </w:pPr>
            <w:r>
              <w:t xml:space="preserve">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(S/)</w:t>
            </w:r>
          </w:p>
        </w:tc>
        <w:tc>
          <w:tcPr/>
          <w:p>
            <w:pPr>
              <w:pStyle w:val="Compact"/>
              <w:jc w:val="right"/>
            </w:pPr>
            <w:r>
              <w:t xml:space="preserve">1,065.00</w:t>
            </w:r>
          </w:p>
        </w:tc>
      </w:tr>
      <w:tr>
        <w:tc>
          <w:tcPr/>
          <w:p>
            <w:pPr>
              <w:pStyle w:val="Compact"/>
              <w:jc w:val="left"/>
            </w:pPr>
            <w:r>
              <w:t xml:space="preserve">IGV – 18% (Peruvian VAT)</w:t>
            </w:r>
          </w:p>
        </w:tc>
        <w:tc>
          <w:tcPr/>
          <w:p>
            <w:pPr>
              <w:pStyle w:val="Compact"/>
              <w:jc w:val="right"/>
            </w:pPr>
            <w:r>
              <w:t xml:space="preserve">191.70</w:t>
            </w:r>
          </w:p>
        </w:tc>
      </w:tr>
      <w:tr>
        <w:tc>
          <w:tcPr/>
          <w:p>
            <w:pPr>
              <w:pStyle w:val="Compact"/>
              <w:jc w:val="left"/>
            </w:pPr>
            <w:r>
              <w:t xml:space="preserve">Discount – Loyalty Program (5%)</w:t>
            </w:r>
          </w:p>
        </w:tc>
        <w:tc>
          <w:tcPr/>
          <w:p>
            <w:pPr>
              <w:pStyle w:val="Compact"/>
              <w:jc w:val="right"/>
            </w:pPr>
            <w:r>
              <w:t xml:space="preserve">-53.25</w:t>
            </w:r>
          </w:p>
        </w:tc>
      </w:tr>
      <w:tr>
        <w:tc>
          <w:tcPr/>
          <w:p>
            <w:pPr>
              <w:pStyle w:val="Compact"/>
              <w:jc w:val="left"/>
            </w:pPr>
            <w:r>
              <w:t xml:space="preserve">TOTAL PAYABLE (S/)</w:t>
            </w:r>
          </w:p>
        </w:tc>
        <w:tc>
          <w:tcPr/>
          <w:p>
            <w:pPr>
              <w:pStyle w:val="Compact"/>
              <w:jc w:val="right"/>
            </w:pPr>
            <w:r>
              <w:t xml:space="preserve">1,203.45</w:t>
            </w:r>
          </w:p>
        </w:tc>
      </w:tr>
    </w:tbl>
    <w:bookmarkStart w:id="24" w:name="payment-terms-instructions"/>
    <w:p>
      <w:pPr>
        <w:pStyle w:val="Heading3"/>
      </w:pPr>
      <w:r>
        <w:t xml:space="preserve">Payment Terms &amp; Instructions</w:t>
      </w:r>
    </w:p>
    <w:p>
      <w:pPr>
        <w:pStyle w:val="FirstParagraph"/>
      </w:pPr>
      <w:r>
        <w:t xml:space="preserve">This Invoice must be settled in full within fifteen (15) calendar days from the issue date, no later than June 30, 2025. Payment may be made via bank transfer to BCP Bank, Account No. 191-19045678-0-19 (Salón &amp; Estética Bella Lima S.A.C., Lima, Peru), or by credit/debit card (Visa, Mastercard, American Express) at our Peru Lima studio located on Av. Javier Prado Este 1245, San Isidro. A late payment fee of 2% per month will be applied to any outstanding balance after the due date. Please reference Invoice No. BL-2025-00487 on all remittances to ensure proper accounting reconciliation.</w:t>
      </w:r>
    </w:p>
    <w:bookmarkEnd w:id="24"/>
    <w:bookmarkStart w:id="25" w:name="X4bf6112d62d5b27218439a228823a973ed6dbc4"/>
    <w:p>
      <w:pPr>
        <w:pStyle w:val="Heading3"/>
      </w:pPr>
      <w:r>
        <w:t xml:space="preserve">Important Notes Regarding This Hairdresser Invoice</w:t>
      </w:r>
    </w:p>
    <w:p>
      <w:pPr>
        <w:pStyle w:val="FirstParagraph"/>
      </w:pPr>
      <w:r>
        <w:t xml:space="preserve">1. This Invoice has been issued in accordance with the Peruvian tax regulations established by SUNAT (Superintendencia Nacional de Aduanas y de Administración Tributaria). The document number and RUC are registered in the national electronic invoicing system (Sistema de Emisión de Comprobantes de Pago).</w:t>
      </w:r>
    </w:p>
    <w:p>
      <w:pPr>
        <w:pStyle w:val="BodyText"/>
      </w:pPr>
      <w:r>
        <w:t xml:space="preserve">2. All Hairdresser services listed above were performed at our Peru Lima flagship studio. The lead Hairdresser, Carlos Mendoza Huamán, holds a certified license from the Ministry of Labor and Employment Promotion of Peru (N° 4521-2019).</w:t>
      </w:r>
    </w:p>
    <w:p>
      <w:pPr>
        <w:pStyle w:val="BodyText"/>
      </w:pPr>
      <w:r>
        <w:t xml:space="preserve">3. The keratin repair mask and scalp exfoliation products used are sourced from local Peru Lima botanical suppliers, supporting regional agriculture and sustainable beauty practices.</w:t>
      </w:r>
    </w:p>
    <w:p>
      <w:pPr>
        <w:pStyle w:val="BodyText"/>
      </w:pPr>
      <w:r>
        <w:t xml:space="preserve">4. The client is entitled to a complimentary touch-up consultation within thirty (30) days of the service date. This benefit is non-transferable and applies only to the Hairdresser who performed the original service.</w:t>
      </w:r>
    </w:p>
    <w:p>
      <w:pPr>
        <w:pStyle w:val="BodyText"/>
      </w:pPr>
      <w:r>
        <w:t xml:space="preserve">5. In the event of any dissatisfaction with the Hairdresser work, the client may request a review within seven (7) business days. A corrective session will be scheduled at no additional cost, subject to the Hairdresser's availability.</w:t>
      </w:r>
    </w:p>
    <w:p>
      <w:pPr>
        <w:pStyle w:val="BodyText"/>
      </w:pPr>
      <w:r>
        <w:t xml:space="preserve">6. This Invoice constitutes the sole and final billing document for the services rendered on the date specified. No additional charges will be incurred unless previously authorized in writing by the client.</w:t>
      </w:r>
    </w:p>
    <w:bookmarkEnd w:id="25"/>
    <w:p>
      <w:pPr>
        <w:pStyle w:val="BodyText"/>
      </w:pPr>
      <w:r>
        <w:rPr>
          <w:bCs/>
          <w:b/>
        </w:rPr>
        <w:t xml:space="preserve">Salón &amp; Estética Bella Lima S.A.C.</w:t>
      </w:r>
      <w:r>
        <w:t xml:space="preserve"> </w:t>
      </w:r>
      <w:r>
        <w:t xml:space="preserve">– RUC 20587432196 – Av. Javier Prado Este 1245, San Isidro, Lima, Peru</w:t>
      </w:r>
    </w:p>
    <w:p>
      <w:pPr>
        <w:pStyle w:val="BodyText"/>
      </w:pPr>
      <w:r>
        <w:t xml:space="preserve">Registered with SUNAT for electronic invoicing | N° de Registro: 001-20587432196</w:t>
      </w:r>
    </w:p>
    <w:p>
      <w:pPr>
        <w:pStyle w:val="BodyText"/>
      </w:pPr>
      <w:r>
        <w:t xml:space="preserve">This Invoice is valid as a fiscal document under Peruvian commercial law (Código Tributario, Art. 1061).</w:t>
      </w:r>
    </w:p>
    <w:p>
      <w:pPr>
        <w:pStyle w:val="BodyText"/>
      </w:pPr>
      <w:r>
        <w:t xml:space="preserve">For questions regarding this Invoice, please contact our billing department at billing@bellalima.pe or +51 1 456 7890, Monday to Saturday, 9:00 AM – 7:00 PM (Peru Lima time, GMT-5).</w:t>
      </w:r>
    </w:p>
    <w:p>
      <w:pPr>
        <w:pStyle w:val="BodyText"/>
      </w:pPr>
      <w:r>
        <w:t xml:space="preserve">PAID – CONFIRMED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Hairdresser Services - Peru Lima</dc:title>
  <dc:creator/>
  <dc:language>en</dc:language>
  <cp:keywords/>
  <dcterms:created xsi:type="dcterms:W3CDTF">2026-10-10T03:49:38Z</dcterms:created>
  <dcterms:modified xsi:type="dcterms:W3CDTF">2026-10-10T03:49:38Z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