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Manila</w:t>
      </w:r>
      <w:r>
        <w:t xml:space="preserve"> </w:t>
      </w:r>
      <w:r>
        <w:t xml:space="preserve">Hairdresser</w:t>
      </w:r>
      <w:r>
        <w:t xml:space="preserve"> </w:t>
      </w:r>
      <w:r>
        <w:t xml:space="preserve">Studio</w:t>
      </w:r>
    </w:p>
    <w:bookmarkStart w:id="20" w:name="manila-hairdresser-studio"/>
    <w:p>
      <w:pPr>
        <w:pStyle w:val="Heading1"/>
      </w:pPr>
      <w:r>
        <w:t xml:space="preserve">Manila Hairdresser Studio</w:t>
      </w:r>
    </w:p>
    <w:p>
      <w:pPr>
        <w:pStyle w:val="FirstParagraph"/>
      </w:pPr>
      <w:r>
        <w:t xml:space="preserve">Unit 4B, 12th Floor, Makati Business Center</w:t>
      </w:r>
    </w:p>
    <w:p>
      <w:pPr>
        <w:pStyle w:val="BodyText"/>
      </w:pPr>
      <w:r>
        <w:t xml:space="preserve">123 Ayala Avenue, Makati City, Philippines Manila 1226</w:t>
      </w:r>
    </w:p>
    <w:p>
      <w:pPr>
        <w:pStyle w:val="BodyText"/>
      </w:pPr>
      <w:r>
        <w:t xml:space="preserve">Tel: +63 (2) 8888-4521 | Mobile: +63 917 555 0192</w:t>
      </w:r>
    </w:p>
    <w:p>
      <w:pPr>
        <w:pStyle w:val="BodyText"/>
      </w:pPr>
      <w:r>
        <w:t xml:space="preserve">Email: billing@manilahairdresser.ph</w:t>
      </w:r>
    </w:p>
    <w:p>
      <w:pPr>
        <w:pStyle w:val="BodyText"/>
      </w:pPr>
      <w:r>
        <w:t xml:space="preserve">TIN: 000-123-456-000 | BIR Reg. No. 000-123-456-000</w:t>
      </w:r>
    </w:p>
    <w:p>
      <w:pPr>
        <w:pStyle w:val="BodyText"/>
      </w:pPr>
      <w:r>
        <w:t xml:space="preserve">DTI Reg. No. CS2019-0456789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MHS-2025-00847</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June 28, 2025</w:t>
      </w:r>
    </w:p>
    <w:p>
      <w:pPr>
        <w:pStyle w:val="BodyText"/>
      </w:pPr>
      <w:r>
        <w:rPr>
          <w:bCs/>
          <w:b/>
        </w:rPr>
        <w:t xml:space="preserve">Service Date:</w:t>
      </w:r>
      <w:r>
        <w:t xml:space="preserve"> </w:t>
      </w:r>
      <w:r>
        <w:t xml:space="preserve">June 12, 2025</w:t>
      </w:r>
    </w:p>
    <w:p>
      <w:pPr>
        <w:pStyle w:val="BodyText"/>
      </w:pPr>
      <w:r>
        <w:t xml:space="preserve">Payment Due in 14 Days</w:t>
      </w:r>
    </w:p>
    <w:bookmarkEnd w:id="21"/>
    <w:bookmarkStart w:id="22" w:name="billed-to-client"/>
    <w:p>
      <w:pPr>
        <w:pStyle w:val="Heading3"/>
      </w:pPr>
      <w:r>
        <w:t xml:space="preserve">Billed To (Client)</w:t>
      </w:r>
    </w:p>
    <w:p>
      <w:pPr>
        <w:pStyle w:val="FirstParagraph"/>
      </w:pPr>
      <w:r>
        <w:rPr>
          <w:bCs/>
          <w:b/>
        </w:rPr>
        <w:t xml:space="preserve">Ms. Camille Reyes-Abad</w:t>
      </w:r>
    </w:p>
    <w:p>
      <w:pPr>
        <w:pStyle w:val="BodyText"/>
      </w:pPr>
      <w:r>
        <w:t xml:space="preserve">Client Account No.: CL-2024-0312</w:t>
      </w:r>
    </w:p>
    <w:p>
      <w:pPr>
        <w:pStyle w:val="BodyText"/>
      </w:pPr>
      <w:r>
        <w:t xml:space="preserve">7885 Robinsons Place, Mandaluyong City</w:t>
      </w:r>
    </w:p>
    <w:p>
      <w:pPr>
        <w:pStyle w:val="BodyText"/>
      </w:pPr>
      <w:r>
        <w:t xml:space="preserve">Philippines Manila 1550</w:t>
      </w:r>
    </w:p>
    <w:p>
      <w:pPr>
        <w:pStyle w:val="BodyText"/>
      </w:pPr>
      <w:r>
        <w:t xml:space="preserve">Tel: +63 918 234 5678</w:t>
      </w:r>
    </w:p>
    <w:p>
      <w:pPr>
        <w:pStyle w:val="BodyText"/>
      </w:pPr>
      <w:r>
        <w:t xml:space="preserve">Email: camille.reyes@email.com</w:t>
      </w:r>
    </w:p>
    <w:p>
      <w:pPr>
        <w:pStyle w:val="BodyText"/>
      </w:pPr>
      <w:r>
        <w:t xml:space="preserve">TIN: 123-456-789-000</w:t>
      </w:r>
    </w:p>
    <w:bookmarkEnd w:id="22"/>
    <w:bookmarkStart w:id="23" w:name="prepared-by-hairdresser"/>
    <w:p>
      <w:pPr>
        <w:pStyle w:val="Heading3"/>
      </w:pPr>
      <w:r>
        <w:t xml:space="preserve">Prepared By (Hairdresser)</w:t>
      </w:r>
    </w:p>
    <w:p>
      <w:pPr>
        <w:pStyle w:val="FirstParagraph"/>
      </w:pPr>
      <w:r>
        <w:rPr>
          <w:bCs/>
          <w:b/>
        </w:rPr>
        <w:t xml:space="preserve">Master Hairdresser: Paolo D. Santos</w:t>
      </w:r>
    </w:p>
    <w:p>
      <w:pPr>
        <w:pStyle w:val="BodyText"/>
      </w:pPr>
      <w:r>
        <w:t xml:space="preserve">Lic. No. PH-HD-2018-004521</w:t>
      </w:r>
    </w:p>
    <w:p>
      <w:pPr>
        <w:pStyle w:val="BodyText"/>
      </w:pPr>
      <w:r>
        <w:t xml:space="preserve">Senior Stylist &amp; Color Specialist</w:t>
      </w:r>
    </w:p>
    <w:p>
      <w:pPr>
        <w:pStyle w:val="BodyText"/>
      </w:pPr>
      <w:r>
        <w:t xml:space="preserve">Manila Hairdresser Studio</w:t>
      </w:r>
    </w:p>
    <w:p>
      <w:pPr>
        <w:pStyle w:val="BodyText"/>
      </w:pPr>
      <w:r>
        <w:t xml:space="preserve">Philippines Manila</w:t>
      </w:r>
    </w:p>
    <w:p>
      <w:pPr>
        <w:pStyle w:val="BodyText"/>
      </w:pPr>
      <w:r>
        <w:t xml:space="preserve">Stylist ID: STY-0042</w:t>
      </w:r>
    </w:p>
    <w:bookmarkEnd w:id="23"/>
    <w:bookmarkStart w:id="24" w:name="X8ec03013a59b70a8d4391a394274045fd1fc3b3"/>
    <w:p>
      <w:pPr>
        <w:pStyle w:val="Heading3"/>
      </w:pPr>
      <w:r>
        <w:t xml:space="preserve">Itemized Services Rendered by Hairdresser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Premium Haircut &amp; Styling – Full head precision cut with blow-dry finish, performed by Master Hairdresser Paolo Santos</w:t>
            </w:r>
          </w:p>
        </w:tc>
        <w:tc>
          <w:tcPr/>
          <w:p>
            <w:pPr>
              <w:pStyle w:val="Compact"/>
              <w:jc w:val="left"/>
            </w:pPr>
            <w:r>
              <w:t xml:space="preserve">Cutting</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Full-Head Balayage Color Application – Custom ombre blend using L'Oréal Professionnel products, including pre-color treatment</w:t>
            </w:r>
          </w:p>
        </w:tc>
        <w:tc>
          <w:tcPr/>
          <w:p>
            <w:pPr>
              <w:pStyle w:val="Compact"/>
              <w:jc w:val="left"/>
            </w:pPr>
            <w:r>
              <w:t xml:space="preserve">Coloring</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Deep Nourishing Hair Treatment – Keratin-infused conditioning mask with scalp massage (45 minutes)</w:t>
            </w:r>
          </w:p>
        </w:tc>
        <w:tc>
          <w:tcPr/>
          <w:p>
            <w:pPr>
              <w:pStyle w:val="Compact"/>
              <w:jc w:val="left"/>
            </w:pPr>
            <w:r>
              <w:t xml:space="preserve">Treatment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Professional Blowout &amp; Event Styling – Heat-styled updo with finishing spray for evening gala</w:t>
            </w:r>
          </w:p>
        </w:tc>
        <w:tc>
          <w:tcPr/>
          <w:p>
            <w:pPr>
              <w:pStyle w:val="Compact"/>
              <w:jc w:val="left"/>
            </w:pPr>
            <w:r>
              <w:t xml:space="preserve">Styling</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Bridal Hair Trial Session – Pre-event consultation and trial styling by the assigned Hairdresser team</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Take-Home Product Package – Manila Hairdresser Studio branded shampoo, conditioner, and heat protectant (set of 3)</w:t>
            </w:r>
          </w:p>
        </w:tc>
        <w:tc>
          <w:tcPr/>
          <w:p>
            <w:pPr>
              <w:pStyle w:val="Compact"/>
              <w:jc w:val="left"/>
            </w:pPr>
            <w:r>
              <w:t xml:space="preserve">Retail</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Scalp Exfoliation &amp; Detox Treatment – Weekly maintenance add-on service</w:t>
            </w:r>
          </w:p>
        </w:tc>
        <w:tc>
          <w:tcPr/>
          <w:p>
            <w:pPr>
              <w:pStyle w:val="Compact"/>
              <w:jc w:val="left"/>
            </w:pPr>
            <w:r>
              <w:t xml:space="preserve">Treatment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(PHP)</w:t>
            </w:r>
          </w:p>
        </w:tc>
        <w:tc>
          <w:tcPr/>
          <w:p>
            <w:pPr>
              <w:pStyle w:val="Compact"/>
              <w:jc w:val="left"/>
            </w:pPr>
            <w:r>
              <w:t xml:space="preserve">22,400.00</w:t>
            </w:r>
          </w:p>
        </w:tc>
      </w:tr>
      <w:tr>
        <w:tc>
          <w:tcPr/>
          <w:p>
            <w:pPr>
              <w:pStyle w:val="Compact"/>
              <w:jc w:val="left"/>
            </w:pPr>
            <w:r>
              <w:t xml:space="preserve">Loyalty Discount (5%)</w:t>
            </w:r>
          </w:p>
        </w:tc>
        <w:tc>
          <w:tcPr/>
          <w:p>
            <w:pPr>
              <w:pStyle w:val="Compact"/>
              <w:jc w:val="left"/>
            </w:pPr>
            <w:r>
              <w:t xml:space="preserve">-1,120.00</w:t>
            </w:r>
          </w:p>
        </w:tc>
      </w:tr>
      <w:tr>
        <w:tc>
          <w:tcPr/>
          <w:p>
            <w:pPr>
              <w:pStyle w:val="Compact"/>
              <w:jc w:val="left"/>
            </w:pPr>
            <w:r>
              <w:t xml:space="preserve">Net Subtotal (PHP)</w:t>
            </w:r>
          </w:p>
        </w:tc>
        <w:tc>
          <w:tcPr/>
          <w:p>
            <w:pPr>
              <w:pStyle w:val="Compact"/>
              <w:jc w:val="left"/>
            </w:pPr>
            <w:r>
              <w:t xml:space="preserve">21,280.00</w:t>
            </w:r>
          </w:p>
        </w:tc>
      </w:tr>
      <w:tr>
        <w:tc>
          <w:tcPr/>
          <w:p>
            <w:pPr>
              <w:pStyle w:val="Compact"/>
              <w:jc w:val="left"/>
            </w:pPr>
            <w:r>
              <w:t xml:space="preserve">VAT (12% – BIR Compliant)</w:t>
            </w:r>
          </w:p>
        </w:tc>
        <w:tc>
          <w:tcPr/>
          <w:p>
            <w:pPr>
              <w:pStyle w:val="Compact"/>
              <w:jc w:val="left"/>
            </w:pPr>
            <w:r>
              <w:t xml:space="preserve">2,553.60</w:t>
            </w:r>
          </w:p>
        </w:tc>
      </w:tr>
      <w:tr>
        <w:tc>
          <w:tcPr/>
          <w:p>
            <w:pPr>
              <w:pStyle w:val="Compact"/>
              <w:jc w:val="left"/>
            </w:pPr>
            <w:r>
              <w:t xml:space="preserve">GRAND TOTAL (PHP)</w:t>
            </w:r>
          </w:p>
        </w:tc>
        <w:tc>
          <w:tcPr/>
          <w:p>
            <w:pPr>
              <w:pStyle w:val="Compact"/>
              <w:jc w:val="left"/>
            </w:pPr>
            <w:r>
              <w:t xml:space="preserve">23,833.60</w:t>
            </w:r>
          </w:p>
        </w:tc>
      </w:tr>
    </w:tbl>
    <w:bookmarkEnd w:id="24"/>
    <w:bookmarkStart w:id="25" w:name="invoice-notes-payment-terms"/>
    <w:p>
      <w:pPr>
        <w:pStyle w:val="Heading3"/>
      </w:pPr>
      <w:r>
        <w:t xml:space="preserve">Invoice Notes &amp; Payment Terms</w:t>
      </w:r>
    </w:p>
    <w:p>
      <w:pPr>
        <w:pStyle w:val="FirstParagraph"/>
      </w:pPr>
      <w:r>
        <w:t xml:space="preserve">This Invoice is issued by Manila Hairdresser Studio, a registered beauty and haircare establishment operating in the Philippines Manila metropolitan area. All services listed above were personally performed or supervised by our licensed Hairdresser team on the service date indicated. The Hairdresser services are subject to the quality standards set by the Philippine Department of Labor and Employment (DOLE) and the Professional Regulation Commission (PRC) for licensed cosmetologists and hairdressers.</w:t>
      </w:r>
    </w:p>
    <w:p>
      <w:pPr>
        <w:numPr>
          <w:ilvl w:val="0"/>
          <w:numId w:val="1001"/>
        </w:numPr>
        <w:pStyle w:val="Compact"/>
      </w:pPr>
      <w:r>
        <w:rPr>
          <w:bCs/>
          <w:b/>
        </w:rPr>
        <w:t xml:space="preserve">Payment Due:</w:t>
      </w:r>
      <w:r>
        <w:t xml:space="preserve"> </w:t>
      </w:r>
      <w:r>
        <w:t xml:space="preserve">Full payment of this Invoice is due within fourteen (14) calendar days from the Invoice date, i.e., on or before June 28, 2025.</w:t>
      </w:r>
    </w:p>
    <w:p>
      <w:pPr>
        <w:numPr>
          <w:ilvl w:val="0"/>
          <w:numId w:val="1001"/>
        </w:numPr>
        <w:pStyle w:val="Compact"/>
      </w:pPr>
      <w:r>
        <w:rPr>
          <w:bCs/>
          <w:b/>
        </w:rPr>
        <w:t xml:space="preserve">Accepted Payment Methods:</w:t>
      </w:r>
      <w:r>
        <w:t xml:space="preserve"> </w:t>
      </w:r>
      <w:r>
        <w:t xml:space="preserve">Cash, GCash, Maya, bank transfer (BDO, BPI, Metrobank), credit/debit card (Visa, Mastercard), or over-the-counter payment at any 7-Eleven or Cebuana Lhuillier branch in the Philippines Manila area.</w:t>
      </w:r>
    </w:p>
    <w:p>
      <w:pPr>
        <w:numPr>
          <w:ilvl w:val="0"/>
          <w:numId w:val="1001"/>
        </w:numPr>
        <w:pStyle w:val="Compact"/>
      </w:pPr>
      <w:r>
        <w:rPr>
          <w:bCs/>
          <w:b/>
        </w:rPr>
        <w:t xml:space="preserve">Late Payment:</w:t>
      </w:r>
      <w:r>
        <w:t xml:space="preserve"> </w:t>
      </w:r>
      <w:r>
        <w:t xml:space="preserve">A late payment surcharge of 1.5% per month will be applied to any outstanding balance beyond the due date, in accordance with the Republic Act No. 8424 (Philippine Consumer Act).</w:t>
      </w:r>
    </w:p>
    <w:p>
      <w:pPr>
        <w:numPr>
          <w:ilvl w:val="0"/>
          <w:numId w:val="1001"/>
        </w:numPr>
        <w:pStyle w:val="Compact"/>
      </w:pPr>
      <w:r>
        <w:rPr>
          <w:bCs/>
          <w:b/>
        </w:rPr>
        <w:t xml:space="preserve">Disputes:</w:t>
      </w:r>
      <w:r>
        <w:t xml:space="preserve"> </w:t>
      </w:r>
      <w:r>
        <w:t xml:space="preserve">Any discrepancies regarding this Invoice must be reported to the Manila Hairdresser Studio billing office within seven (7) days of receipt. Please reference Invoice No. MHS-2025-00847 in all correspondence.</w:t>
      </w:r>
    </w:p>
    <w:p>
      <w:pPr>
        <w:numPr>
          <w:ilvl w:val="0"/>
          <w:numId w:val="1001"/>
        </w:numPr>
        <w:pStyle w:val="Compact"/>
      </w:pPr>
      <w:r>
        <w:rPr>
          <w:bCs/>
          <w:b/>
        </w:rPr>
        <w:t xml:space="preserve">Tax Compliance:</w:t>
      </w:r>
      <w:r>
        <w:t xml:space="preserve"> </w:t>
      </w:r>
      <w:r>
        <w:t xml:space="preserve">This Invoice is issued in compliance with the Bureau of Internal Revenue (BIR) regulations of the Philippines. The 12% VAT is included as mandated by the National Internal Revenue Code (NIRC) of the Philippines.</w:t>
      </w:r>
    </w:p>
    <w:p>
      <w:pPr>
        <w:numPr>
          <w:ilvl w:val="0"/>
          <w:numId w:val="1001"/>
        </w:numPr>
        <w:pStyle w:val="Compact"/>
      </w:pPr>
      <w:r>
        <w:rPr>
          <w:bCs/>
          <w:b/>
        </w:rPr>
        <w:t xml:space="preserve">Warranty:</w:t>
      </w:r>
      <w:r>
        <w:t xml:space="preserve"> </w:t>
      </w:r>
      <w:r>
        <w:t xml:space="preserve">All Hairdresser services carry a 7-day satisfaction guarantee. If you are not fully satisfied with your haircut, color, or styling, please return to our Philippines Manila studio within seven days for a complimentary touch-up or adjustment.</w:t>
      </w:r>
    </w:p>
    <w:bookmarkEnd w:id="25"/>
    <w:p>
      <w:pPr>
        <w:pStyle w:val="FirstParagraph"/>
      </w:pPr>
      <w:r>
        <w:rPr>
          <w:bCs/>
          <w:b/>
        </w:rPr>
        <w:t xml:space="preserve">Manila Hairdresser Studio</w:t>
      </w:r>
      <w:r>
        <w:t xml:space="preserve"> </w:t>
      </w:r>
      <w:r>
        <w:t xml:space="preserve">| Unit 4B, 12th Floor, Makati Business Center, 123 Ayala Avenue, Makati City, Philippines Manila 1226</w:t>
      </w:r>
    </w:p>
    <w:p>
      <w:pPr>
        <w:pStyle w:val="BodyText"/>
      </w:pPr>
      <w:r>
        <w:t xml:space="preserve">Tel: +63 (2) 8888-4521 | Email: billing@manilahairdresser.ph | Website: www.manilahairdresser.ph</w:t>
      </w:r>
    </w:p>
    <w:p>
      <w:pPr>
        <w:pStyle w:val="BodyText"/>
      </w:pPr>
      <w:r>
        <w:t xml:space="preserve">Thank you for choosing Manila Hairdresser Studio for your premium haircare needs in the Philippines Manila. We look forward to serving you again.</w:t>
      </w:r>
    </w:p>
    <w:p>
      <w:pPr>
        <w:pStyle w:val="BodyText"/>
      </w:pPr>
      <w:r>
        <w:t xml:space="preserve">This is a computer-generated Invoice and does not require a signature. For BIR-compliant official receipts, please visit our Philippines Manila studio or request via email. Invoice No. MHS-2025-00847 | Generated: June 14,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Manila Hairdresser Studio</dc:title>
  <dc:creator/>
  <dc:language>en</dc:language>
  <cp:keywords/>
  <dcterms:created xsi:type="dcterms:W3CDTF">2026-10-10T07:03:03Z</dcterms:created>
  <dcterms:modified xsi:type="dcterms:W3CDTF">2026-10-10T07:03:03Z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