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Belgium</w:t>
      </w:r>
      <w:r>
        <w:t xml:space="preserve"> </w:t>
      </w:r>
      <w:r>
        <w:t xml:space="preserve">Brussels</w:t>
      </w:r>
    </w:p>
    <w:p>
      <w:pPr>
        <w:pStyle w:val="FirstParagraph"/>
      </w:pPr>
      <w:r>
        <w:t xml:space="preserve">Invoice</w:t>
      </w:r>
    </w:p>
    <w:p>
      <w:pPr>
        <w:pStyle w:val="BodyText"/>
      </w:pPr>
      <w:r>
        <w:t xml:space="preserve">Professional Services – Human Resources Management</w:t>
      </w:r>
    </w:p>
    <w:p>
      <w:pPr>
        <w:pStyle w:val="BodyText"/>
      </w:pPr>
      <w:r>
        <w:rPr>
          <w:bCs/>
          <w:b/>
        </w:rPr>
        <w:t xml:space="preserve">Brussels HR Consulting S.A.</w:t>
      </w:r>
      <w:r>
        <w:br/>
      </w:r>
      <w:r>
        <w:t xml:space="preserve">Avenue Louise 425, 1050 Brussels</w:t>
      </w:r>
      <w:r>
        <w:br/>
      </w:r>
      <w:r>
        <w:t xml:space="preserve">Belgium Brussels, 1050</w:t>
      </w:r>
      <w:r>
        <w:br/>
      </w:r>
      <w:r>
        <w:t xml:space="preserve">BTW / VAT No.: BE 0765.432.109</w:t>
      </w:r>
      <w:r>
        <w:br/>
      </w:r>
      <w:r>
        <w:t xml:space="preserve">RLE: Brussels</w:t>
      </w:r>
      <w:r>
        <w:br/>
      </w:r>
      <w:r>
        <w:t xml:space="preserve">Tel: +32 2 555 0147</w:t>
      </w:r>
      <w:r>
        <w:br/>
      </w:r>
      <w:r>
        <w:t xml:space="preserve">Email: invoicing@brussels-hr-consulting.be</w:t>
      </w:r>
    </w:p>
    <w:bookmarkStart w:id="20" w:name="invoice-details"/>
    <w:p>
      <w:pPr>
        <w:pStyle w:val="Heading4"/>
      </w:pPr>
      <w:r>
        <w:t xml:space="preserve">Invoice Details</w:t>
      </w:r>
    </w:p>
    <w:p>
      <w:pPr>
        <w:pStyle w:val="FirstParagraph"/>
      </w:pPr>
      <w:r>
        <w:rPr>
          <w:bCs/>
          <w:b/>
        </w:rPr>
        <w:t xml:space="preserve">Invoice No.:</w:t>
      </w:r>
      <w:r>
        <w:t xml:space="preserve"> </w:t>
      </w:r>
      <w:r>
        <w:t xml:space="preserve">INV-2025-BRU-0047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Service Period:</w:t>
      </w:r>
      <w:r>
        <w:t xml:space="preserve"> </w:t>
      </w:r>
      <w:r>
        <w:t xml:space="preserve">1 June 2025 – 30 June 2025</w:t>
      </w:r>
    </w:p>
    <w:bookmarkEnd w:id="20"/>
    <w:bookmarkStart w:id="21" w:name="billed-to"/>
    <w:p>
      <w:pPr>
        <w:pStyle w:val="Heading4"/>
      </w:pPr>
      <w:r>
        <w:t xml:space="preserve">Billed To</w:t>
      </w:r>
    </w:p>
    <w:p>
      <w:pPr>
        <w:pStyle w:val="FirstParagraph"/>
      </w:pPr>
      <w:r>
        <w:rPr>
          <w:bCs/>
          <w:b/>
        </w:rPr>
        <w:t xml:space="preserve">Client:</w:t>
      </w:r>
      <w:r>
        <w:t xml:space="preserve"> </w:t>
      </w:r>
      <w:r>
        <w:t xml:space="preserve">EuroTech Solutions N.V.</w:t>
      </w:r>
    </w:p>
    <w:p>
      <w:pPr>
        <w:pStyle w:val="BodyText"/>
      </w:pPr>
      <w:r>
        <w:rPr>
          <w:bCs/>
          <w:b/>
        </w:rPr>
        <w:t xml:space="preserve">Address:</w:t>
      </w:r>
      <w:r>
        <w:t xml:space="preserve"> </w:t>
      </w:r>
      <w:r>
        <w:t xml:space="preserve">Rue de la Loi 180, 1040 Brussels</w:t>
      </w:r>
    </w:p>
    <w:p>
      <w:pPr>
        <w:pStyle w:val="BodyText"/>
      </w:pPr>
      <w:r>
        <w:rPr>
          <w:bCs/>
          <w:b/>
        </w:rPr>
        <w:t xml:space="preserve">Belgium Brussels, 1040</w:t>
      </w:r>
    </w:p>
    <w:p>
      <w:pPr>
        <w:pStyle w:val="BodyText"/>
      </w:pPr>
      <w:r>
        <w:rPr>
          <w:bCs/>
          <w:b/>
        </w:rPr>
        <w:t xml:space="preserve">BTW / VAT No.:</w:t>
      </w:r>
      <w:r>
        <w:t xml:space="preserve"> </w:t>
      </w:r>
      <w:r>
        <w:t xml:space="preserve">BE 0891.234.567</w:t>
      </w:r>
    </w:p>
    <w:p>
      <w:pPr>
        <w:pStyle w:val="BodyText"/>
      </w:pPr>
      <w:r>
        <w:rPr>
          <w:bCs/>
          <w:b/>
        </w:rPr>
        <w:t xml:space="preserve">Attn:</w:t>
      </w:r>
      <w:r>
        <w:t xml:space="preserve"> </w:t>
      </w:r>
      <w:r>
        <w:t xml:space="preserve">Mr. Jan Peeters, CFO</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w:t>
            </w:r>
          </w:p>
        </w:tc>
      </w:tr>
      <w:tr>
        <w:tc>
          <w:tcPr/>
          <w:p>
            <w:pPr>
              <w:pStyle w:val="Compact"/>
              <w:jc w:val="left"/>
            </w:pPr>
            <w:r>
              <w:t xml:space="preserve">01</w:t>
            </w:r>
          </w:p>
        </w:tc>
        <w:tc>
          <w:tcPr/>
          <w:p>
            <w:pPr>
              <w:pStyle w:val="Compact"/>
              <w:jc w:val="left"/>
            </w:pPr>
            <w:r>
              <w:t xml:space="preserve">Strategic Human Resources planning and workforce analysis for the Belgium Brussels office, including headcount forecasting, succession planning, and organizational restructuring recommendations aligned with Belgian labour law (Code du Travail).</w:t>
            </w:r>
          </w:p>
        </w:tc>
        <w:tc>
          <w:tcPr/>
          <w:p>
            <w:pPr>
              <w:pStyle w:val="Compact"/>
              <w:jc w:val="left"/>
            </w:pPr>
            <w:r>
              <w:t xml:space="preserve">32 hrs</w:t>
            </w:r>
          </w:p>
        </w:tc>
        <w:tc>
          <w:tcPr/>
          <w:p>
            <w:pPr>
              <w:pStyle w:val="Compact"/>
              <w:jc w:val="left"/>
            </w:pPr>
            <w:r>
              <w:t xml:space="preserve">€120.00</w:t>
            </w:r>
          </w:p>
        </w:tc>
        <w:tc>
          <w:tcPr/>
          <w:p>
            <w:pPr>
              <w:pStyle w:val="Compact"/>
              <w:jc w:val="left"/>
            </w:pPr>
            <w:r>
              <w:t xml:space="preserve">€3,840.00</w:t>
            </w:r>
          </w:p>
        </w:tc>
        <w:tc>
          <w:tcPr/>
          <w:p>
            <w:pPr>
              <w:pStyle w:val="Compact"/>
              <w:jc w:val="left"/>
            </w:pPr>
            <w:r>
              <w:t xml:space="preserve">21%</w:t>
            </w:r>
          </w:p>
        </w:tc>
      </w:tr>
      <w:tr>
        <w:tc>
          <w:tcPr/>
          <w:p>
            <w:pPr>
              <w:pStyle w:val="Compact"/>
              <w:jc w:val="left"/>
            </w:pPr>
            <w:r>
              <w:t xml:space="preserve">02</w:t>
            </w:r>
          </w:p>
        </w:tc>
        <w:tc>
          <w:tcPr/>
          <w:p>
            <w:pPr>
              <w:pStyle w:val="Compact"/>
              <w:jc w:val="left"/>
            </w:pPr>
            <w:r>
              <w:t xml:space="preserve">Recruitment and talent acquisition management: end-to-end coordination of 12 open positions, including job description drafting, candidate screening, interview scheduling, and onboarding programme design for the Belgium Brussels headquarters.</w:t>
            </w:r>
          </w:p>
        </w:tc>
        <w:tc>
          <w:tcPr/>
          <w:p>
            <w:pPr>
              <w:pStyle w:val="Compact"/>
              <w:jc w:val="left"/>
            </w:pPr>
            <w:r>
              <w:t xml:space="preserve">40 hrs</w:t>
            </w:r>
          </w:p>
        </w:tc>
        <w:tc>
          <w:tcPr/>
          <w:p>
            <w:pPr>
              <w:pStyle w:val="Compact"/>
              <w:jc w:val="left"/>
            </w:pPr>
            <w:r>
              <w:t xml:space="preserve">€115.00</w:t>
            </w:r>
          </w:p>
        </w:tc>
        <w:tc>
          <w:tcPr/>
          <w:p>
            <w:pPr>
              <w:pStyle w:val="Compact"/>
              <w:jc w:val="left"/>
            </w:pPr>
            <w:r>
              <w:t xml:space="preserve">€4,600.00</w:t>
            </w:r>
          </w:p>
        </w:tc>
        <w:tc>
          <w:tcPr/>
          <w:p>
            <w:pPr>
              <w:pStyle w:val="Compact"/>
              <w:jc w:val="left"/>
            </w:pPr>
            <w:r>
              <w:t xml:space="preserve">21%</w:t>
            </w:r>
          </w:p>
        </w:tc>
      </w:tr>
      <w:tr>
        <w:tc>
          <w:tcPr/>
          <w:p>
            <w:pPr>
              <w:pStyle w:val="Compact"/>
              <w:jc w:val="left"/>
            </w:pPr>
            <w:r>
              <w:t xml:space="preserve">03</w:t>
            </w:r>
          </w:p>
        </w:tc>
        <w:tc>
          <w:tcPr/>
          <w:p>
            <w:pPr>
              <w:pStyle w:val="Compact"/>
              <w:jc w:val="left"/>
            </w:pPr>
            <w:r>
              <w:t xml:space="preserve">Employee relations and compliance advisory: review of 45 employment contracts, negotiation of collective bargaining agreements under the Belgian sectoral framework, and resolution of 3 workplace disputes in accordance with the Belgian Labour Court procedures.</w:t>
            </w:r>
          </w:p>
        </w:tc>
        <w:tc>
          <w:tcPr/>
          <w:p>
            <w:pPr>
              <w:pStyle w:val="Compact"/>
              <w:jc w:val="left"/>
            </w:pPr>
            <w:r>
              <w:t xml:space="preserve">24 hrs</w:t>
            </w:r>
          </w:p>
        </w:tc>
        <w:tc>
          <w:tcPr/>
          <w:p>
            <w:pPr>
              <w:pStyle w:val="Compact"/>
              <w:jc w:val="left"/>
            </w:pPr>
            <w:r>
              <w:t xml:space="preserve">€130.00</w:t>
            </w:r>
          </w:p>
        </w:tc>
        <w:tc>
          <w:tcPr/>
          <w:p>
            <w:pPr>
              <w:pStyle w:val="Compact"/>
              <w:jc w:val="left"/>
            </w:pPr>
            <w:r>
              <w:t xml:space="preserve">€3,120.00</w:t>
            </w:r>
          </w:p>
        </w:tc>
        <w:tc>
          <w:tcPr/>
          <w:p>
            <w:pPr>
              <w:pStyle w:val="Compact"/>
              <w:jc w:val="left"/>
            </w:pPr>
            <w:r>
              <w:t xml:space="preserve">21%</w:t>
            </w:r>
          </w:p>
        </w:tc>
      </w:tr>
      <w:tr>
        <w:tc>
          <w:tcPr/>
          <w:p>
            <w:pPr>
              <w:pStyle w:val="Compact"/>
              <w:jc w:val="left"/>
            </w:pPr>
            <w:r>
              <w:t xml:space="preserve">04</w:t>
            </w:r>
          </w:p>
        </w:tc>
        <w:tc>
          <w:tcPr/>
          <w:p>
            <w:pPr>
              <w:pStyle w:val="Compact"/>
              <w:jc w:val="left"/>
            </w:pPr>
            <w:r>
              <w:t xml:space="preserve">Performance management system implementation: design and rollout of a KPI-based appraisal framework, training of 8 department managers, and integration with the existing HRIS platform used across the Belgium Brussels operations.</w:t>
            </w:r>
          </w:p>
        </w:tc>
        <w:tc>
          <w:tcPr/>
          <w:p>
            <w:pPr>
              <w:pStyle w:val="Compact"/>
              <w:jc w:val="left"/>
            </w:pPr>
            <w:r>
              <w:t xml:space="preserve">28 hrs</w:t>
            </w:r>
          </w:p>
        </w:tc>
        <w:tc>
          <w:tcPr/>
          <w:p>
            <w:pPr>
              <w:pStyle w:val="Compact"/>
              <w:jc w:val="left"/>
            </w:pPr>
            <w:r>
              <w:t xml:space="preserve">€120.00</w:t>
            </w:r>
          </w:p>
        </w:tc>
        <w:tc>
          <w:tcPr/>
          <w:p>
            <w:pPr>
              <w:pStyle w:val="Compact"/>
              <w:jc w:val="left"/>
            </w:pPr>
            <w:r>
              <w:t xml:space="preserve">€3,360.00</w:t>
            </w:r>
          </w:p>
        </w:tc>
        <w:tc>
          <w:tcPr/>
          <w:p>
            <w:pPr>
              <w:pStyle w:val="Compact"/>
              <w:jc w:val="left"/>
            </w:pPr>
            <w:r>
              <w:t xml:space="preserve">21%</w:t>
            </w:r>
          </w:p>
        </w:tc>
      </w:tr>
      <w:tr>
        <w:tc>
          <w:tcPr/>
          <w:p>
            <w:pPr>
              <w:pStyle w:val="Compact"/>
              <w:jc w:val="left"/>
            </w:pPr>
            <w:r>
              <w:t xml:space="preserve">05</w:t>
            </w:r>
          </w:p>
        </w:tc>
        <w:tc>
          <w:tcPr/>
          <w:p>
            <w:pPr>
              <w:pStyle w:val="Compact"/>
              <w:jc w:val="left"/>
            </w:pPr>
            <w:r>
              <w:t xml:space="preserve">Payroll and social security coordination: monthly reconciliation of 120 employee payroll records, verification of ONSS (Office National de la Sécurité Sociale) contributions, and preparation of the annual DmfA declaration for the Belgium Brussels entity.</w:t>
            </w:r>
          </w:p>
        </w:tc>
        <w:tc>
          <w:tcPr/>
          <w:p>
            <w:pPr>
              <w:pStyle w:val="Compact"/>
              <w:jc w:val="left"/>
            </w:pPr>
            <w:r>
              <w:t xml:space="preserve">16 hrs</w:t>
            </w:r>
          </w:p>
        </w:tc>
        <w:tc>
          <w:tcPr/>
          <w:p>
            <w:pPr>
              <w:pStyle w:val="Compact"/>
              <w:jc w:val="left"/>
            </w:pPr>
            <w:r>
              <w:t xml:space="preserve">€110.00</w:t>
            </w:r>
          </w:p>
        </w:tc>
        <w:tc>
          <w:tcPr/>
          <w:p>
            <w:pPr>
              <w:pStyle w:val="Compact"/>
              <w:jc w:val="left"/>
            </w:pPr>
            <w:r>
              <w:t xml:space="preserve">€1,760.00</w:t>
            </w:r>
          </w:p>
        </w:tc>
        <w:tc>
          <w:tcPr/>
          <w:p>
            <w:pPr>
              <w:pStyle w:val="Compact"/>
              <w:jc w:val="left"/>
            </w:pPr>
            <w:r>
              <w:t xml:space="preserve">21%</w:t>
            </w:r>
          </w:p>
        </w:tc>
      </w:tr>
      <w:tr>
        <w:tc>
          <w:tcPr/>
          <w:p>
            <w:pPr>
              <w:pStyle w:val="Compact"/>
              <w:jc w:val="left"/>
            </w:pPr>
            <w:r>
              <w:t xml:space="preserve">06</w:t>
            </w:r>
          </w:p>
        </w:tc>
        <w:tc>
          <w:tcPr/>
          <w:p>
            <w:pPr>
              <w:pStyle w:val="Compact"/>
              <w:jc w:val="left"/>
            </w:pPr>
            <w:r>
              <w:t xml:space="preserve">HR policy development and employee handbook revision: drafting of updated policies covering remote work, data protection (GDPR compliance for employee data), anti-harassment protocols, and diversity &amp; inclusion initiatives specific to the multicultural Belgium Brussels workforce.</w:t>
            </w:r>
          </w:p>
        </w:tc>
        <w:tc>
          <w:tcPr/>
          <w:p>
            <w:pPr>
              <w:pStyle w:val="Compact"/>
              <w:jc w:val="left"/>
            </w:pPr>
            <w:r>
              <w:t xml:space="preserve">20 hrs</w:t>
            </w:r>
          </w:p>
        </w:tc>
        <w:tc>
          <w:tcPr/>
          <w:p>
            <w:pPr>
              <w:pStyle w:val="Compact"/>
              <w:jc w:val="left"/>
            </w:pPr>
            <w:r>
              <w:t xml:space="preserve">€125.00</w:t>
            </w:r>
          </w:p>
        </w:tc>
        <w:tc>
          <w:tcPr/>
          <w:p>
            <w:pPr>
              <w:pStyle w:val="Compact"/>
              <w:jc w:val="left"/>
            </w:pPr>
            <w:r>
              <w:t xml:space="preserve">€2,500.00</w:t>
            </w:r>
          </w:p>
        </w:tc>
        <w:tc>
          <w:tcPr/>
          <w:p>
            <w:pPr>
              <w:pStyle w:val="Compact"/>
              <w:jc w:val="left"/>
            </w:pPr>
            <w:r>
              <w:t xml:space="preserve">21%</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€19,180.00</w:t>
            </w:r>
          </w:p>
        </w:tc>
      </w:tr>
      <w:tr>
        <w:tc>
          <w:tcPr/>
          <w:p>
            <w:pPr>
              <w:pStyle w:val="Compact"/>
              <w:jc w:val="left"/>
            </w:pPr>
            <w:r>
              <w:t xml:space="preserve">VAT @ 21% (Belgian standard rate)</w:t>
            </w:r>
          </w:p>
        </w:tc>
        <w:tc>
          <w:tcPr/>
          <w:p>
            <w:pPr>
              <w:pStyle w:val="Compact"/>
              <w:jc w:val="right"/>
            </w:pPr>
            <w:r>
              <w:t xml:space="preserve">€4,027.80</w:t>
            </w:r>
          </w:p>
        </w:tc>
      </w:tr>
      <w:tr>
        <w:tc>
          <w:tcPr/>
          <w:p>
            <w:pPr>
              <w:pStyle w:val="Compact"/>
              <w:jc w:val="left"/>
            </w:pPr>
            <w:r>
              <w:t xml:space="preserve">TOTAL AMOUNT DUE</w:t>
            </w:r>
          </w:p>
        </w:tc>
        <w:tc>
          <w:tcPr/>
          <w:p>
            <w:pPr>
              <w:pStyle w:val="Compact"/>
              <w:jc w:val="right"/>
            </w:pPr>
            <w:r>
              <w:t xml:space="preserve">€23,207.80</w:t>
            </w:r>
          </w:p>
        </w:tc>
      </w:tr>
    </w:tbl>
    <w:bookmarkStart w:id="22" w:name="payment-instructions"/>
    <w:p>
      <w:pPr>
        <w:pStyle w:val="Heading3"/>
      </w:pPr>
      <w:r>
        <w:t xml:space="preserve">Payment Instructions</w:t>
      </w:r>
    </w:p>
    <w:p>
      <w:pPr>
        <w:pStyle w:val="FirstParagraph"/>
      </w:pPr>
      <w:r>
        <w:t xml:space="preserve">Please settle the total amount of</w:t>
      </w:r>
      <w:r>
        <w:t xml:space="preserve"> </w:t>
      </w:r>
      <w:r>
        <w:rPr>
          <w:bCs/>
          <w:b/>
        </w:rPr>
        <w:t xml:space="preserve">€23,207.80</w:t>
      </w:r>
      <w:r>
        <w:t xml:space="preserve"> </w:t>
      </w:r>
      <w:r>
        <w:t xml:space="preserve">within 30 calendar days from the date of this Invoice, no later than</w:t>
      </w:r>
      <w:r>
        <w:t xml:space="preserve"> </w:t>
      </w:r>
      <w:r>
        <w:rPr>
          <w:bCs/>
          <w:b/>
        </w:rPr>
        <w:t xml:space="preserve">15 July 2025</w:t>
      </w:r>
      <w:r>
        <w:t xml:space="preserve">. Payment should be made via bank transfer to the following account:</w:t>
      </w:r>
    </w:p>
    <w:p>
      <w:pPr>
        <w:pStyle w:val="BodyText"/>
      </w:pPr>
      <w:r>
        <w:rPr>
          <w:bCs/>
          <w:b/>
        </w:rPr>
        <w:t xml:space="preserve">IBAN:</w:t>
      </w:r>
      <w:r>
        <w:t xml:space="preserve"> </w:t>
      </w:r>
      <w:r>
        <w:t xml:space="preserve">BE68 5390 0754 7034</w:t>
      </w:r>
      <w:r>
        <w:br/>
      </w:r>
      <w:r>
        <w:rPr>
          <w:bCs/>
          <w:b/>
        </w:rPr>
        <w:t xml:space="preserve">BIC / SWIFT:</w:t>
      </w:r>
      <w:r>
        <w:t xml:space="preserve"> </w:t>
      </w:r>
      <w:r>
        <w:t xml:space="preserve">GEBABEBB</w:t>
      </w:r>
      <w:r>
        <w:br/>
      </w:r>
      <w:r>
        <w:rPr>
          <w:bCs/>
          <w:b/>
        </w:rPr>
        <w:t xml:space="preserve">Bank:</w:t>
      </w:r>
      <w:r>
        <w:t xml:space="preserve"> </w:t>
      </w:r>
      <w:r>
        <w:t xml:space="preserve">BNP Paribas Fortis, Brussels Branch</w:t>
      </w:r>
      <w:r>
        <w:br/>
      </w:r>
      <w:r>
        <w:rPr>
          <w:bCs/>
          <w:b/>
        </w:rPr>
        <w:t xml:space="preserve">Reference:</w:t>
      </w:r>
      <w:r>
        <w:t xml:space="preserve"> </w:t>
      </w:r>
      <w:r>
        <w:t xml:space="preserve">INV-2025-BRU-0047</w:t>
      </w:r>
    </w:p>
    <w:p>
      <w:pPr>
        <w:pStyle w:val="BodyText"/>
      </w:pPr>
      <w:r>
        <w:t xml:space="preserve">In the event of late payment, statutory interest at the rate prescribed by the Belgian Law of 2 August 2002 on late payment in commercial transactions shall apply, together with a fixed compensation amount of €40.00 as per Belgian regulation.</w:t>
      </w:r>
    </w:p>
    <w:bookmarkEnd w:id="22"/>
    <w:bookmarkStart w:id="23" w:name="notes-terms"/>
    <w:p>
      <w:pPr>
        <w:pStyle w:val="Heading3"/>
      </w:pPr>
      <w:r>
        <w:t xml:space="preserve">Notes &amp; Terms</w:t>
      </w:r>
    </w:p>
    <w:p>
      <w:pPr>
        <w:pStyle w:val="FirstParagraph"/>
      </w:pPr>
      <w:r>
        <w:t xml:space="preserve">1. This Invoice is issued in accordance with the Belgian Royal Decree of 24 December 2014 on invoicing obligations and the VAT Code (Code de la TVA). All services rendered by the Human Resources Manager are subject to the standard Belgian VAT rate of 21%.</w:t>
      </w:r>
    </w:p>
    <w:p>
      <w:pPr>
        <w:pStyle w:val="BodyText"/>
      </w:pPr>
      <w:r>
        <w:t xml:space="preserve">2. The Human Resources Manager engaged under this engagement is a certified professional registered with the Belgian professional body for HR practitioners and operates in full compliance with the Belgian Labour Code, the Act of 3 July 1978 on employment contracts, and all applicable regulations of the Brussels-Capital Region.</w:t>
      </w:r>
    </w:p>
    <w:p>
      <w:pPr>
        <w:pStyle w:val="BodyText"/>
      </w:pPr>
      <w:r>
        <w:t xml:space="preserve">3. All services were delivered at the client's premises located in Belgium Brussels or via secure remote channels as agreed in the Statement of Work dated 28 May 2025. No additional travel expenses are included in this Invoice.</w:t>
      </w:r>
    </w:p>
    <w:p>
      <w:pPr>
        <w:pStyle w:val="BodyText"/>
      </w:pPr>
      <w:r>
        <w:t xml:space="preserve">4. This Invoice constitutes the final and complete billing for the service period indicated. Any additional services requested outside the scope of the original engagement will be subject to a separate Invoice and prior written approval.</w:t>
      </w:r>
    </w:p>
    <w:p>
      <w:pPr>
        <w:pStyle w:val="BodyText"/>
      </w:pPr>
      <w:r>
        <w:t xml:space="preserve">5. The client acknowledges that all deliverables, reports, and strategic documents produced by the Human Resources Manager during this engagement remain the intellectual property of the client upon full payment of this Invoice.</w:t>
      </w:r>
    </w:p>
    <w:p>
      <w:pPr>
        <w:pStyle w:val="BodyText"/>
      </w:pPr>
      <w:r>
        <w:t xml:space="preserve">6. In the event of a dispute regarding this Invoice, the parties agree that the competent courts of Brussels, Belgium Brussels shall have exclusive jurisdiction, in accordance with Belgian civil procedure law.</w:t>
      </w:r>
    </w:p>
    <w:bookmarkEnd w:id="23"/>
    <w:p>
      <w:pPr>
        <w:pStyle w:val="BodyText"/>
      </w:pPr>
      <w:r>
        <w:rPr>
          <w:bCs/>
          <w:b/>
        </w:rPr>
        <w:t xml:space="preserve">Legal Notice:</w:t>
      </w:r>
      <w:r>
        <w:t xml:space="preserve"> </w:t>
      </w:r>
      <w:r>
        <w:t xml:space="preserve">Brussels HR Consulting S.A. is a public limited company (Société Anonyme) registered with the Crossroads Bank for Enterprises (KBO/CBE) under number 0765.432.109, with its registered office at Avenue Louise 425, 1050 Brussels, Belgium Brussels. The company is subject to the jurisdiction of the Tribunal de Commerce de Bruxelles / Rechtbank van Koophandel van Brussel. This Invoice is issued electronically in PDF format and carries the same legal validity as a paper document under the Belgian Electronic Commerce Act of 14 December 2005. The Human Resources Manager services described herein are provided under a B2B professional services contract governed by Belgian law. For any queries regarding this Invoice, please contact our billing department at invoicing@brussels-hr-consulting.be or by telephone at +32 2 555 0147 during business hours (Monday to Friday, 09:00–17:00 CET).</w:t>
      </w:r>
    </w:p>
    <w:p>
      <w:pPr>
        <w:pStyle w:val="BodyText"/>
      </w:pPr>
      <w:r>
        <w:t xml:space="preserve">Thank you for your business. We appreciate the opportunity to support your Human Resources operations in Belgium Brussels.</w:t>
      </w:r>
    </w:p>
    <w:p>
      <w:pPr>
        <w:pStyle w:val="BodyText"/>
      </w:pPr>
      <w:r>
        <w:t xml:space="preserve">Brussels HR Consulting S.A. – Invoice INV-2025-BRU-0047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Belgium Brussels</dc:title>
  <dc:creator/>
  <dc:language>en</dc:language>
  <cp:keywords/>
  <dcterms:created xsi:type="dcterms:W3CDTF">2026-10-10T02:11:42Z</dcterms:created>
  <dcterms:modified xsi:type="dcterms:W3CDTF">2026-10-10T02:11:42Z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