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shanghai-meridian-hr-consulting-co.-ltd."/>
    <w:p>
      <w:pPr>
        <w:pStyle w:val="Heading1"/>
      </w:pPr>
      <w:r>
        <w:t xml:space="preserve">Shanghai Meridian HR Consulting Co., Ltd.</w:t>
      </w:r>
    </w:p>
    <w:p>
      <w:pPr>
        <w:pStyle w:val="FirstParagraph"/>
      </w:pPr>
      <w:r>
        <w:t xml:space="preserve">88 Pudong New Area, Century Avenue, Tower B, Floor 22</w:t>
      </w:r>
    </w:p>
    <w:p>
      <w:pPr>
        <w:pStyle w:val="BodyText"/>
      </w:pPr>
      <w:r>
        <w:t xml:space="preserve">Shanghai, China 200120</w:t>
      </w:r>
    </w:p>
    <w:p>
      <w:pPr>
        <w:pStyle w:val="BodyText"/>
      </w:pPr>
      <w:r>
        <w:t xml:space="preserve">Tel: +86 21 5888 6600 | Email: billing@meridianhr-sh.com</w:t>
      </w:r>
    </w:p>
    <w:p>
      <w:pPr>
        <w:pStyle w:val="BodyText"/>
      </w:pPr>
      <w:r>
        <w:t xml:space="preserve">Unified Social Credit Code: 91310000MA1FL8XK2P</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SH-2025-0714-HRM</w:t>
      </w:r>
    </w:p>
    <w:p>
      <w:pPr>
        <w:pStyle w:val="BodyText"/>
      </w:pPr>
      <w:r>
        <w:rPr>
          <w:bCs/>
          <w:b/>
        </w:rPr>
        <w:t xml:space="preserve">Issue Date:</w:t>
      </w:r>
      <w:r>
        <w:t xml:space="preserve"> </w:t>
      </w:r>
      <w:r>
        <w:t xml:space="preserve">July 14, 2025</w:t>
      </w:r>
    </w:p>
    <w:p>
      <w:pPr>
        <w:pStyle w:val="BodyText"/>
      </w:pPr>
      <w:r>
        <w:rPr>
          <w:bCs/>
          <w:b/>
        </w:rPr>
        <w:t xml:space="preserve">Due Date:</w:t>
      </w:r>
      <w:r>
        <w:t xml:space="preserve"> </w:t>
      </w:r>
      <w:r>
        <w:t xml:space="preserve">August 13, 2025</w:t>
      </w:r>
    </w:p>
    <w:p>
      <w:pPr>
        <w:pStyle w:val="BodyText"/>
      </w:pPr>
      <w:r>
        <w:rPr>
          <w:bCs/>
          <w:b/>
        </w:rPr>
        <w:t xml:space="preserve">Service Period:</w:t>
      </w:r>
      <w:r>
        <w:t xml:space="preserve"> </w:t>
      </w:r>
      <w:r>
        <w:t xml:space="preserve">June 1 – June 30, 2025</w:t>
      </w:r>
    </w:p>
    <w:p>
      <w:pPr>
        <w:pStyle w:val="BodyText"/>
      </w:pPr>
      <w:r>
        <w:t xml:space="preserve">Professional Services</w:t>
      </w:r>
    </w:p>
    <w:bookmarkEnd w:id="21"/>
    <w:bookmarkStart w:id="22" w:name="billed-to"/>
    <w:p>
      <w:pPr>
        <w:pStyle w:val="Heading3"/>
      </w:pPr>
      <w:r>
        <w:t xml:space="preserve">Billed To</w:t>
      </w:r>
    </w:p>
    <w:p>
      <w:pPr>
        <w:pStyle w:val="FirstParagraph"/>
      </w:pPr>
      <w:r>
        <w:rPr>
          <w:bCs/>
          <w:b/>
        </w:rPr>
        <w:t xml:space="preserve">Shanghai Apex Technology Group Co., Ltd.</w:t>
      </w:r>
    </w:p>
    <w:p>
      <w:pPr>
        <w:pStyle w:val="BodyText"/>
      </w:pPr>
      <w:r>
        <w:t xml:space="preserve">120 Lujiazui Ring Road, Pudong District</w:t>
      </w:r>
    </w:p>
    <w:p>
      <w:pPr>
        <w:pStyle w:val="BodyText"/>
      </w:pPr>
      <w:r>
        <w:t xml:space="preserve">Shanghai, China 200120</w:t>
      </w:r>
    </w:p>
    <w:p>
      <w:pPr>
        <w:pStyle w:val="BodyText"/>
      </w:pPr>
      <w:r>
        <w:t xml:space="preserve">Attn: Mr. David Chen, Chief Executive Officer</w:t>
      </w:r>
    </w:p>
    <w:p>
      <w:pPr>
        <w:pStyle w:val="BodyText"/>
      </w:pPr>
      <w:r>
        <w:t xml:space="preserve">VAT Registration No.: 91310115MA1K3TQW8R</w:t>
      </w:r>
    </w:p>
    <w:bookmarkEnd w:id="22"/>
    <w:bookmarkStart w:id="23" w:name="service-provider"/>
    <w:p>
      <w:pPr>
        <w:pStyle w:val="Heading3"/>
      </w:pPr>
      <w:r>
        <w:t xml:space="preserve">Service Provider</w:t>
      </w:r>
    </w:p>
    <w:p>
      <w:pPr>
        <w:pStyle w:val="FirstParagraph"/>
      </w:pPr>
      <w:r>
        <w:rPr>
          <w:bCs/>
          <w:b/>
        </w:rPr>
        <w:t xml:space="preserve">Shanghai Meridian HR Consulting Co., Ltd.</w:t>
      </w:r>
    </w:p>
    <w:p>
      <w:pPr>
        <w:pStyle w:val="BodyText"/>
      </w:pPr>
      <w:r>
        <w:t xml:space="preserve">Lead Consultant: Ms. Linda Wang</w:t>
      </w:r>
    </w:p>
    <w:p>
      <w:pPr>
        <w:pStyle w:val="BodyText"/>
      </w:pPr>
      <w:r>
        <w:t xml:space="preserve">Designation: Senior Human Resources Manager</w:t>
      </w:r>
    </w:p>
    <w:p>
      <w:pPr>
        <w:pStyle w:val="BodyText"/>
      </w:pPr>
      <w:r>
        <w:t xml:space="preserve">License No.: HR-SH-2019-4472</w:t>
      </w:r>
    </w:p>
    <w:p>
      <w:pPr>
        <w:pStyle w:val="BodyText"/>
      </w:pPr>
      <w:r>
        <w:t xml:space="preserve">Bank: ICBC Shanghai Pudong Branch</w:t>
      </w:r>
    </w:p>
    <w:p>
      <w:pPr>
        <w:pStyle w:val="BodyText"/>
      </w:pPr>
      <w:r>
        <w:t xml:space="preserve">Account: 1001 2345 6789 0123</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(CNY)</w:t>
            </w:r>
          </w:p>
        </w:tc>
        <w:tc>
          <w:tcPr/>
          <w:p>
            <w:pPr>
              <w:pStyle w:val="Compact"/>
              <w:jc w:val="left"/>
            </w:pPr>
            <w:r>
              <w:t xml:space="preserve">Hours</w:t>
            </w:r>
          </w:p>
        </w:tc>
        <w:tc>
          <w:tcPr/>
          <w:p>
            <w:pPr>
              <w:pStyle w:val="Compact"/>
              <w:jc w:val="left"/>
            </w:pPr>
            <w:r>
              <w:t xml:space="preserve">Amount (CNY)</w:t>
            </w:r>
          </w:p>
        </w:tc>
        <w:tc>
          <w:tcPr/>
          <w:p>
            <w:pPr>
              <w:pStyle w:val="Compact"/>
              <w:jc w:val="left"/>
            </w:pPr>
            <w:r>
              <w:t xml:space="preserve">VAT (6%)</w:t>
            </w:r>
          </w:p>
        </w:tc>
      </w:tr>
      <w:tr>
        <w:tc>
          <w:tcPr/>
          <w:p>
            <w:pPr>
              <w:pStyle w:val="Compact"/>
              <w:jc w:val="left"/>
            </w:pPr>
            <w:r>
              <w:t xml:space="preserve">1</w:t>
            </w:r>
          </w:p>
        </w:tc>
        <w:tc>
          <w:tcPr/>
          <w:p>
            <w:pPr>
              <w:pStyle w:val="Compact"/>
              <w:jc w:val="left"/>
            </w:pPr>
            <w:r>
              <w:t xml:space="preserve">Strategic workforce planning and organizational restructuring advisory by the Human Resources Manager for Q2 2025 operations in China Shanghai</w:t>
            </w:r>
          </w:p>
        </w:tc>
        <w:tc>
          <w:tcPr/>
          <w:p>
            <w:pPr>
              <w:pStyle w:val="Compact"/>
              <w:jc w:val="left"/>
            </w:pPr>
            <w:r>
              <w:t xml:space="preserve">1,200.00</w:t>
            </w:r>
          </w:p>
        </w:tc>
        <w:tc>
          <w:tcPr/>
          <w:p>
            <w:pPr>
              <w:pStyle w:val="Compact"/>
              <w:jc w:val="left"/>
            </w:pPr>
            <w:r>
              <w:t xml:space="preserve">40</w:t>
            </w:r>
          </w:p>
        </w:tc>
        <w:tc>
          <w:tcPr/>
          <w:p>
            <w:pPr>
              <w:pStyle w:val="Compact"/>
              <w:jc w:val="left"/>
            </w:pPr>
            <w:r>
              <w:t xml:space="preserve">48,000.00</w:t>
            </w:r>
          </w:p>
        </w:tc>
        <w:tc>
          <w:tcPr/>
          <w:p>
            <w:pPr>
              <w:pStyle w:val="Compact"/>
              <w:jc w:val="left"/>
            </w:pPr>
            <w:r>
              <w:t xml:space="preserve">2,880.00</w:t>
            </w:r>
          </w:p>
        </w:tc>
      </w:tr>
      <w:tr>
        <w:tc>
          <w:tcPr/>
          <w:p>
            <w:pPr>
              <w:pStyle w:val="Compact"/>
              <w:jc w:val="left"/>
            </w:pPr>
            <w:r>
              <w:t xml:space="preserve">2</w:t>
            </w:r>
          </w:p>
        </w:tc>
        <w:tc>
          <w:tcPr/>
          <w:p>
            <w:pPr>
              <w:pStyle w:val="Compact"/>
              <w:jc w:val="left"/>
            </w:pPr>
            <w:r>
              <w:t xml:space="preserve">Recruitment strategy development, employer branding, and talent acquisition pipeline management for senior leadership positions</w:t>
            </w:r>
          </w:p>
        </w:tc>
        <w:tc>
          <w:tcPr/>
          <w:p>
            <w:pPr>
              <w:pStyle w:val="Compact"/>
              <w:jc w:val="left"/>
            </w:pPr>
            <w:r>
              <w:t xml:space="preserve">1,200.00</w:t>
            </w:r>
          </w:p>
        </w:tc>
        <w:tc>
          <w:tcPr/>
          <w:p>
            <w:pPr>
              <w:pStyle w:val="Compact"/>
              <w:jc w:val="left"/>
            </w:pPr>
            <w:r>
              <w:t xml:space="preserve">32</w:t>
            </w:r>
          </w:p>
        </w:tc>
        <w:tc>
          <w:tcPr/>
          <w:p>
            <w:pPr>
              <w:pStyle w:val="Compact"/>
              <w:jc w:val="left"/>
            </w:pPr>
            <w:r>
              <w:t xml:space="preserve">38,400.00</w:t>
            </w:r>
          </w:p>
        </w:tc>
        <w:tc>
          <w:tcPr/>
          <w:p>
            <w:pPr>
              <w:pStyle w:val="Compact"/>
              <w:jc w:val="left"/>
            </w:pPr>
            <w:r>
              <w:t xml:space="preserve">2,304.00</w:t>
            </w:r>
          </w:p>
        </w:tc>
      </w:tr>
      <w:tr>
        <w:tc>
          <w:tcPr/>
          <w:p>
            <w:pPr>
              <w:pStyle w:val="Compact"/>
              <w:jc w:val="left"/>
            </w:pPr>
            <w:r>
              <w:t xml:space="preserve">3</w:t>
            </w:r>
          </w:p>
        </w:tc>
        <w:tc>
          <w:tcPr/>
          <w:p>
            <w:pPr>
              <w:pStyle w:val="Compact"/>
              <w:jc w:val="left"/>
            </w:pPr>
            <w:r>
              <w:t xml:space="preserve">Employee compensation and benefits benchmarking against China Shanghai market standards, including annual salary review implementation</w:t>
            </w:r>
          </w:p>
        </w:tc>
        <w:tc>
          <w:tcPr/>
          <w:p>
            <w:pPr>
              <w:pStyle w:val="Compact"/>
              <w:jc w:val="left"/>
            </w:pPr>
            <w:r>
              <w:t xml:space="preserve">1,200.00</w:t>
            </w:r>
          </w:p>
        </w:tc>
        <w:tc>
          <w:tcPr/>
          <w:p>
            <w:pPr>
              <w:pStyle w:val="Compact"/>
              <w:jc w:val="left"/>
            </w:pPr>
            <w:r>
              <w:t xml:space="preserve">24</w:t>
            </w:r>
          </w:p>
        </w:tc>
        <w:tc>
          <w:tcPr/>
          <w:p>
            <w:pPr>
              <w:pStyle w:val="Compact"/>
              <w:jc w:val="left"/>
            </w:pPr>
            <w:r>
              <w:t xml:space="preserve">28,800.00</w:t>
            </w:r>
          </w:p>
        </w:tc>
        <w:tc>
          <w:tcPr/>
          <w:p>
            <w:pPr>
              <w:pStyle w:val="Compact"/>
              <w:jc w:val="left"/>
            </w:pPr>
            <w:r>
              <w:t xml:space="preserve">1,728.00</w:t>
            </w:r>
          </w:p>
        </w:tc>
      </w:tr>
      <w:tr>
        <w:tc>
          <w:tcPr/>
          <w:p>
            <w:pPr>
              <w:pStyle w:val="Compact"/>
              <w:jc w:val="left"/>
            </w:pPr>
            <w:r>
              <w:t xml:space="preserve">4</w:t>
            </w:r>
          </w:p>
        </w:tc>
        <w:tc>
          <w:tcPr/>
          <w:p>
            <w:pPr>
              <w:pStyle w:val="Compact"/>
              <w:jc w:val="left"/>
            </w:pPr>
            <w:r>
              <w:t xml:space="preserve">Compliance audit of labor contracts, social insurance contributions, and adherence to the PRC Labor Law and Shanghai municipal regulations</w:t>
            </w:r>
          </w:p>
        </w:tc>
        <w:tc>
          <w:tcPr/>
          <w:p>
            <w:pPr>
              <w:pStyle w:val="Compact"/>
              <w:jc w:val="left"/>
            </w:pPr>
            <w:r>
              <w:t xml:space="preserve">1,200.00</w:t>
            </w:r>
          </w:p>
        </w:tc>
        <w:tc>
          <w:tcPr/>
          <w:p>
            <w:pPr>
              <w:pStyle w:val="Compact"/>
              <w:jc w:val="left"/>
            </w:pPr>
            <w:r>
              <w:t xml:space="preserve">20</w:t>
            </w:r>
          </w:p>
        </w:tc>
        <w:tc>
          <w:tcPr/>
          <w:p>
            <w:pPr>
              <w:pStyle w:val="Compact"/>
              <w:jc w:val="left"/>
            </w:pPr>
            <w:r>
              <w:t xml:space="preserve">24,000.00</w:t>
            </w:r>
          </w:p>
        </w:tc>
        <w:tc>
          <w:tcPr/>
          <w:p>
            <w:pPr>
              <w:pStyle w:val="Compact"/>
              <w:jc w:val="left"/>
            </w:pPr>
            <w:r>
              <w:t xml:space="preserve">1,440.00</w:t>
            </w:r>
          </w:p>
        </w:tc>
      </w:tr>
      <w:tr>
        <w:tc>
          <w:tcPr/>
          <w:p>
            <w:pPr>
              <w:pStyle w:val="Compact"/>
              <w:jc w:val="left"/>
            </w:pPr>
            <w:r>
              <w:t xml:space="preserve">5</w:t>
            </w:r>
          </w:p>
        </w:tc>
        <w:tc>
          <w:tcPr/>
          <w:p>
            <w:pPr>
              <w:pStyle w:val="Compact"/>
              <w:jc w:val="left"/>
            </w:pPr>
            <w:r>
              <w:t xml:space="preserve">Performance management system design, KPI framework development, and 360-degree feedback program rollout for 500+ employees</w:t>
            </w:r>
          </w:p>
        </w:tc>
        <w:tc>
          <w:tcPr/>
          <w:p>
            <w:pPr>
              <w:pStyle w:val="Compact"/>
              <w:jc w:val="left"/>
            </w:pPr>
            <w:r>
              <w:t xml:space="preserve">1,200.00</w:t>
            </w:r>
          </w:p>
        </w:tc>
        <w:tc>
          <w:tcPr/>
          <w:p>
            <w:pPr>
              <w:pStyle w:val="Compact"/>
              <w:jc w:val="left"/>
            </w:pPr>
            <w:r>
              <w:t xml:space="preserve">28</w:t>
            </w:r>
          </w:p>
        </w:tc>
        <w:tc>
          <w:tcPr/>
          <w:p>
            <w:pPr>
              <w:pStyle w:val="Compact"/>
              <w:jc w:val="left"/>
            </w:pPr>
            <w:r>
              <w:t xml:space="preserve">33,600.00</w:t>
            </w:r>
          </w:p>
        </w:tc>
        <w:tc>
          <w:tcPr/>
          <w:p>
            <w:pPr>
              <w:pStyle w:val="Compact"/>
              <w:jc w:val="left"/>
            </w:pPr>
            <w:r>
              <w:t xml:space="preserve">2,016.00</w:t>
            </w:r>
          </w:p>
        </w:tc>
      </w:tr>
      <w:tr>
        <w:tc>
          <w:tcPr/>
          <w:p>
            <w:pPr>
              <w:pStyle w:val="Compact"/>
              <w:jc w:val="left"/>
            </w:pPr>
            <w:r>
              <w:t xml:space="preserve">6</w:t>
            </w:r>
          </w:p>
        </w:tc>
        <w:tc>
          <w:tcPr/>
          <w:p>
            <w:pPr>
              <w:pStyle w:val="Compact"/>
              <w:jc w:val="left"/>
            </w:pPr>
            <w:r>
              <w:t xml:space="preserve">Employee relations mediation, grievance handling protocols, and workplace culture transformation workshops conducted in China Shanghai offices</w:t>
            </w:r>
          </w:p>
        </w:tc>
        <w:tc>
          <w:tcPr/>
          <w:p>
            <w:pPr>
              <w:pStyle w:val="Compact"/>
              <w:jc w:val="left"/>
            </w:pPr>
            <w:r>
              <w:t xml:space="preserve">1,200.00</w:t>
            </w:r>
          </w:p>
        </w:tc>
        <w:tc>
          <w:tcPr/>
          <w:p>
            <w:pPr>
              <w:pStyle w:val="Compact"/>
              <w:jc w:val="left"/>
            </w:pPr>
            <w:r>
              <w:t xml:space="preserve">16</w:t>
            </w:r>
          </w:p>
        </w:tc>
        <w:tc>
          <w:tcPr/>
          <w:p>
            <w:pPr>
              <w:pStyle w:val="Compact"/>
              <w:jc w:val="left"/>
            </w:pPr>
            <w:r>
              <w:t xml:space="preserve">19,200.00</w:t>
            </w:r>
          </w:p>
        </w:tc>
        <w:tc>
          <w:tcPr/>
          <w:p>
            <w:pPr>
              <w:pStyle w:val="Compact"/>
              <w:jc w:val="left"/>
            </w:pPr>
            <w:r>
              <w:t xml:space="preserve">1,152.00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192,000.00 CNY</w:t>
            </w:r>
          </w:p>
        </w:tc>
      </w:tr>
      <w:tr>
        <w:tc>
          <w:tcPr/>
          <w:p>
            <w:pPr>
              <w:pStyle w:val="Compact"/>
              <w:jc w:val="left"/>
            </w:pPr>
            <w:r>
              <w:t xml:space="preserve">VAT (6% – Professional Services)</w:t>
            </w:r>
          </w:p>
        </w:tc>
        <w:tc>
          <w:tcPr/>
          <w:p>
            <w:pPr>
              <w:pStyle w:val="Compact"/>
              <w:jc w:val="left"/>
            </w:pPr>
            <w:r>
              <w:t xml:space="preserve">11,520.00 CNY</w:t>
            </w:r>
          </w:p>
        </w:tc>
      </w:tr>
      <w:tr>
        <w:tc>
          <w:tcPr/>
          <w:p>
            <w:pPr>
              <w:pStyle w:val="Compact"/>
              <w:jc w:val="left"/>
            </w:pPr>
            <w:r>
              <w:t xml:space="preserve">Local Surcharge (12% of VAT)</w:t>
            </w:r>
          </w:p>
        </w:tc>
        <w:tc>
          <w:tcPr/>
          <w:p>
            <w:pPr>
              <w:pStyle w:val="Compact"/>
              <w:jc w:val="left"/>
            </w:pPr>
            <w:r>
              <w:t xml:space="preserve">1,382.40 CNY</w:t>
            </w:r>
          </w:p>
        </w:tc>
      </w:tr>
      <w:tr>
        <w:tc>
          <w:tcPr/>
          <w:p>
            <w:pPr>
              <w:pStyle w:val="Compact"/>
              <w:jc w:val="left"/>
            </w:pPr>
            <w:r>
              <w:t xml:space="preserve">Early Payment Discount (2% if paid before July 29)</w:t>
            </w:r>
          </w:p>
        </w:tc>
        <w:tc>
          <w:tcPr/>
          <w:p>
            <w:pPr>
              <w:pStyle w:val="Compact"/>
              <w:jc w:val="left"/>
            </w:pPr>
            <w:r>
              <w:t xml:space="preserve">-3,840.00 CNY</w:t>
            </w:r>
          </w:p>
        </w:tc>
      </w:tr>
      <w:tr>
        <w:tc>
          <w:tcPr/>
          <w:p>
            <w:pPr>
              <w:pStyle w:val="Compact"/>
              <w:jc w:val="left"/>
            </w:pPr>
            <w:r>
              <w:t xml:space="preserve">Grand Total Due</w:t>
            </w:r>
          </w:p>
        </w:tc>
        <w:tc>
          <w:tcPr/>
          <w:p>
            <w:pPr>
              <w:pStyle w:val="Compact"/>
              <w:jc w:val="left"/>
            </w:pPr>
            <w:r>
              <w:t xml:space="preserve">201,062.40 CNY</w:t>
            </w:r>
          </w:p>
        </w:tc>
      </w:tr>
    </w:tbl>
    <w:bookmarkStart w:id="24" w:name="invoice-notes-service-summary"/>
    <w:p>
      <w:pPr>
        <w:pStyle w:val="Heading3"/>
      </w:pPr>
      <w:r>
        <w:t xml:space="preserve">Invoice Notes &amp; Service Summary</w:t>
      </w:r>
    </w:p>
    <w:p>
      <w:pPr>
        <w:pStyle w:val="FirstParagraph"/>
      </w:pPr>
      <w:r>
        <w:t xml:space="preserve">This Invoice is issued by Shanghai Meridian HR Consulting Co., Ltd. in accordance with the professional services agreement (Contract No. MHR-2025-0034) executed between the parties on January 5, 2025. The Human Resources Manager, Ms. Linda Wang, has provided comprehensive human capital advisory services throughout the month of June 2025, operating primarily from the client's headquarters in China Shanghai.</w:t>
      </w:r>
    </w:p>
    <w:p>
      <w:pPr>
        <w:pStyle w:val="BodyText"/>
      </w:pPr>
      <w:r>
        <w:t xml:space="preserve">All services rendered under this Invoice have been performed in full compliance with the Labor Law of the People's Republic of China, the Shanghai Municipal Regulations on Employment, and applicable tax codes. The Human Resources Manager's engagement included on-site consultations at the Lujiazui office, virtual strategy sessions, and the preparation of written deliverables including the Q2 Workforce Report and the Annual Compensation Benchmarking White Paper.</w:t>
      </w:r>
    </w:p>
    <w:p>
      <w:pPr>
        <w:numPr>
          <w:ilvl w:val="0"/>
          <w:numId w:val="1001"/>
        </w:numPr>
        <w:pStyle w:val="Compact"/>
      </w:pPr>
      <w:r>
        <w:t xml:space="preserve">All deliverables referenced in this Invoice have been accepted in writing by the client's HR Director on June 30, 2025.</w:t>
      </w:r>
    </w:p>
    <w:p>
      <w:pPr>
        <w:numPr>
          <w:ilvl w:val="0"/>
          <w:numId w:val="1001"/>
        </w:numPr>
        <w:pStyle w:val="Compact"/>
      </w:pPr>
      <w:r>
        <w:t xml:space="preserve">The Human Resources Manager's professional liability insurance (Policy No. PICC-HR-2025-8821) remains in full force for the duration of this engagement.</w:t>
      </w:r>
    </w:p>
    <w:p>
      <w:pPr>
        <w:numPr>
          <w:ilvl w:val="0"/>
          <w:numId w:val="1001"/>
        </w:numPr>
        <w:pStyle w:val="Compact"/>
      </w:pPr>
      <w:r>
        <w:t xml:space="preserve">This Invoice constitutes the final billing for the June 2025 service period. No additional charges will be incurred beyond the amounts stated herein.</w:t>
      </w:r>
    </w:p>
    <w:p>
      <w:pPr>
        <w:numPr>
          <w:ilvl w:val="0"/>
          <w:numId w:val="1001"/>
        </w:numPr>
        <w:pStyle w:val="Compact"/>
      </w:pPr>
      <w:r>
        <w:t xml:space="preserve">All rates are quoted in Chinese Yuan (CNY) and are inclusive of travel within the China Shanghai metropolitan area.</w:t>
      </w:r>
    </w:p>
    <w:bookmarkEnd w:id="24"/>
    <w:bookmarkStart w:id="25" w:name="payment-terms-instructions"/>
    <w:p>
      <w:pPr>
        <w:pStyle w:val="Heading3"/>
      </w:pPr>
      <w:r>
        <w:t xml:space="preserve">Payment Terms &amp; Instructions</w:t>
      </w:r>
    </w:p>
    <w:p>
      <w:pPr>
        <w:pStyle w:val="FirstParagraph"/>
      </w:pPr>
      <w:r>
        <w:rPr>
          <w:bCs/>
          <w:b/>
        </w:rPr>
        <w:t xml:space="preserve">Payment Due:</w:t>
      </w:r>
      <w:r>
        <w:t xml:space="preserve"> </w:t>
      </w:r>
      <w:r>
        <w:t xml:space="preserve">Net 30 days from the issue date of this Invoice (August 13, 2025).</w:t>
      </w:r>
    </w:p>
    <w:p>
      <w:pPr>
        <w:pStyle w:val="BodyText"/>
      </w:pPr>
      <w:r>
        <w:rPr>
          <w:bCs/>
          <w:b/>
        </w:rPr>
        <w:t xml:space="preserve">Payment Method:</w:t>
      </w:r>
      <w:r>
        <w:t xml:space="preserve"> </w:t>
      </w:r>
      <w:r>
        <w:t xml:space="preserve">Bank transfer to ICBC Shanghai Pudong Branch, Account No. 1001 2345 6789 0123, SWIFT: ICBKCNBJSHG.</w:t>
      </w:r>
    </w:p>
    <w:p>
      <w:pPr>
        <w:pStyle w:val="BodyText"/>
      </w:pPr>
      <w:r>
        <w:rPr>
          <w:bCs/>
          <w:b/>
        </w:rPr>
        <w:t xml:space="preserve">Reference:</w:t>
      </w:r>
      <w:r>
        <w:t xml:space="preserve"> </w:t>
      </w:r>
      <w:r>
        <w:t xml:space="preserve">Please cite Invoice No. SH-2025-0714-HRM in the payment remittance advice.</w:t>
      </w:r>
    </w:p>
    <w:p>
      <w:pPr>
        <w:pStyle w:val="BodyText"/>
      </w:pPr>
      <w:r>
        <w:rPr>
          <w:bCs/>
          <w:b/>
        </w:rPr>
        <w:t xml:space="preserve">Late Payment:</w:t>
      </w:r>
      <w:r>
        <w:t xml:space="preserve"> </w:t>
      </w:r>
      <w:r>
        <w:t xml:space="preserve">A penalty of 0.05% per calendar day will be applied to overdue balances in accordance with Article 585 of the PRC Civil Code. Persistent non-payment beyond 60 days may result in suspension of ongoing Human Resources Manager services and referral to the Shanghai Arbitration Commission.</w:t>
      </w:r>
    </w:p>
    <w:p>
      <w:pPr>
        <w:pStyle w:val="BodyText"/>
      </w:pPr>
      <w:r>
        <w:rPr>
          <w:bCs/>
          <w:b/>
        </w:rPr>
        <w:t xml:space="preserve">Tax Declaration:</w:t>
      </w:r>
      <w:r>
        <w:t xml:space="preserve"> </w:t>
      </w:r>
      <w:r>
        <w:t xml:space="preserve">The VAT amount stated in this Invoice is subject to the 6% rate applicable to modern services under the PRC VAT Law. A formal VAT special invoice (fapiao) will be issued upon receipt of payment and made available for the client's tax deduction purposes.</w:t>
      </w:r>
    </w:p>
    <w:bookmarkEnd w:id="25"/>
    <w:p>
      <w:pPr>
        <w:pStyle w:val="BodyText"/>
      </w:pPr>
      <w:r>
        <w:rPr>
          <w:bCs/>
          <w:b/>
        </w:rPr>
        <w:t xml:space="preserve">Shanghai Meridian HR Consulting Co., Ltd.</w:t>
      </w:r>
      <w:r>
        <w:t xml:space="preserve"> </w:t>
      </w:r>
      <w:r>
        <w:t xml:space="preserve">| 88 Century Avenue, Tower B, Floor 22, Pudong New Area, Shanghai, China 200120</w:t>
      </w:r>
    </w:p>
    <w:p>
      <w:pPr>
        <w:pStyle w:val="BodyText"/>
      </w:pPr>
      <w:r>
        <w:t xml:space="preserve">Registered with the Shanghai Municipal Administration for Market Regulation | Unified Social Credit Code: 91310000MA1FL8XK2P</w:t>
      </w:r>
    </w:p>
    <w:p>
      <w:pPr>
        <w:pStyle w:val="BodyText"/>
      </w:pPr>
      <w:r>
        <w:t xml:space="preserve">This Invoice is valid for 90 days from the issue date. For queries regarding this Invoice, please contact our billing department at billing@meridianhr-sh.com or +86 21 5888 6600 ext. 204.</w:t>
      </w:r>
    </w:p>
    <w:p>
      <w:pPr>
        <w:pStyle w:val="BodyText"/>
      </w:pPr>
      <w:r>
        <w:t xml:space="preserve">© 2025 Shanghai Meridian HR Consulting Co., Ltd. All rights reserved. This document is generated electronically and is valid without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Human Resources Manager Services - China Shanghai</dc:title>
  <dc:creator/>
  <dc:language>en</dc:language>
  <cp:keywords/>
  <dcterms:created xsi:type="dcterms:W3CDTF">2026-10-10T09:08:25Z</dcterms:created>
  <dcterms:modified xsi:type="dcterms:W3CDTF">2026-10-10T09:08:25Z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