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hr-solutions-ltd."/>
    <w:p>
      <w:pPr>
        <w:pStyle w:val="Heading1"/>
      </w:pPr>
      <w:r>
        <w:t xml:space="preserve">Alexandria HR Solutions Ltd.</w:t>
      </w:r>
    </w:p>
    <w:p>
      <w:pPr>
        <w:pStyle w:val="FirstParagraph"/>
      </w:pPr>
      <w:r>
        <w:t xml:space="preserve">12 Corniche El-Nil Street, Smouha District</w:t>
      </w:r>
    </w:p>
    <w:p>
      <w:pPr>
        <w:pStyle w:val="BodyText"/>
      </w:pPr>
      <w:r>
        <w:t xml:space="preserve">Alexandria, Egypt 21526</w:t>
      </w:r>
    </w:p>
    <w:p>
      <w:pPr>
        <w:pStyle w:val="BodyText"/>
      </w:pPr>
      <w:r>
        <w:t xml:space="preserve">Tel: +20 3 482 5567 | Email: billing@alexhr-solutions.com</w:t>
      </w:r>
    </w:p>
    <w:p>
      <w:pPr>
        <w:pStyle w:val="BodyText"/>
      </w:pPr>
      <w:r>
        <w:t xml:space="preserve">Tax Registration No. (TRN): 552-889-123-456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AHR-2025-00472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w:t>
      </w:r>
    </w:p>
    <w:bookmarkEnd w:id="21"/>
    <w:bookmarkStart w:id="22" w:name="bill-to"/>
    <w:p>
      <w:pPr>
        <w:pStyle w:val="Heading3"/>
      </w:pPr>
      <w:r>
        <w:t xml:space="preserve">Bill To</w:t>
      </w:r>
    </w:p>
    <w:p>
      <w:pPr>
        <w:pStyle w:val="FirstParagraph"/>
      </w:pPr>
      <w:r>
        <w:t xml:space="preserve">Medina Coastal Industries S.A.E.</w:t>
      </w:r>
    </w:p>
    <w:p>
      <w:pPr>
        <w:pStyle w:val="BodyText"/>
      </w:pPr>
      <w:r>
        <w:t xml:space="preserve">Attn: Mr. Khaled El-Sayed, Chief Executive Officer</w:t>
      </w:r>
    </w:p>
    <w:p>
      <w:pPr>
        <w:pStyle w:val="BodyText"/>
      </w:pPr>
      <w:r>
        <w:t xml:space="preserve">45 Port Said Road, Eastern District</w:t>
      </w:r>
    </w:p>
    <w:p>
      <w:pPr>
        <w:pStyle w:val="BodyText"/>
      </w:pPr>
      <w:r>
        <w:t xml:space="preserve">Alexandria, Egypt 21945</w:t>
      </w:r>
    </w:p>
    <w:p>
      <w:pPr>
        <w:pStyle w:val="BodyText"/>
      </w:pPr>
      <w:r>
        <w:t xml:space="preserve">Tel: +20 3 533 8891</w:t>
      </w:r>
    </w:p>
    <w:p>
      <w:pPr>
        <w:pStyle w:val="BodyText"/>
      </w:pPr>
      <w:r>
        <w:t xml:space="preserve">Email: finance@medinacoastal.com</w:t>
      </w:r>
    </w:p>
    <w:p>
      <w:pPr>
        <w:pStyle w:val="BodyText"/>
      </w:pPr>
      <w:r>
        <w:t xml:space="preserve">TRN: 553-221-778-990</w:t>
      </w:r>
    </w:p>
    <w:bookmarkEnd w:id="22"/>
    <w:bookmarkStart w:id="23" w:name="service-provider"/>
    <w:p>
      <w:pPr>
        <w:pStyle w:val="Heading3"/>
      </w:pPr>
      <w:r>
        <w:t xml:space="preserve">Service Provider</w:t>
      </w:r>
    </w:p>
    <w:p>
      <w:pPr>
        <w:pStyle w:val="FirstParagraph"/>
      </w:pPr>
      <w:r>
        <w:t xml:space="preserve">Ms. Nour El-Din Hassan</w:t>
      </w:r>
    </w:p>
    <w:p>
      <w:pPr>
        <w:pStyle w:val="BodyText"/>
      </w:pPr>
      <w:r>
        <w:t xml:space="preserve">Human Resources Manager</w:t>
      </w:r>
    </w:p>
    <w:p>
      <w:pPr>
        <w:pStyle w:val="BodyText"/>
      </w:pPr>
      <w:r>
        <w:t xml:space="preserve">Alexandria HR Solutions Ltd.</w:t>
      </w:r>
    </w:p>
    <w:p>
      <w:pPr>
        <w:pStyle w:val="BodyText"/>
      </w:pPr>
      <w:r>
        <w:t xml:space="preserve">Professional License No. HR-EG-2019-4456</w:t>
      </w:r>
    </w:p>
    <w:p>
      <w:pPr>
        <w:pStyle w:val="BodyText"/>
      </w:pPr>
      <w:r>
        <w:t xml:space="preserve">Specialization: Corporate HR Strategy, Recruitment &amp; Talent Management</w:t>
      </w:r>
    </w:p>
    <w:p>
      <w:pPr>
        <w:pStyle w:val="BodyText"/>
      </w:pPr>
      <w:r>
        <w:t xml:space="preserve">Service Location: Egypt Alexandria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Human Resources Manager consultation for organizational restructuring and workforce planning in Egypt Alexandria industrial sector</w:t>
            </w:r>
          </w:p>
        </w:tc>
        <w:tc>
          <w:tcPr/>
          <w:p>
            <w:pPr>
              <w:pStyle w:val="Compact"/>
              <w:jc w:val="left"/>
            </w:pPr>
            <w:r>
              <w:t xml:space="preserve">Jan – Mar 2025</w:t>
            </w:r>
          </w:p>
        </w:tc>
        <w:tc>
          <w:tcPr/>
          <w:p>
            <w:pPr>
              <w:pStyle w:val="Compact"/>
              <w:jc w:val="left"/>
            </w:pPr>
            <w:r>
              <w:t xml:space="preserve">18,500.00</w:t>
            </w:r>
          </w:p>
        </w:tc>
        <w:tc>
          <w:tcPr/>
          <w:p>
            <w:pPr>
              <w:pStyle w:val="Compact"/>
              <w:jc w:val="left"/>
            </w:pPr>
            <w:r>
              <w:t xml:space="preserve">3</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Recruitment strategy development and executive search coordination by the Human Resources Manager for senior management positions</w:t>
            </w:r>
          </w:p>
        </w:tc>
        <w:tc>
          <w:tcPr/>
          <w:p>
            <w:pPr>
              <w:pStyle w:val="Compact"/>
              <w:jc w:val="left"/>
            </w:pPr>
            <w:r>
              <w:t xml:space="preserve">Feb – Apr 2025</w:t>
            </w:r>
          </w:p>
        </w:tc>
        <w:tc>
          <w:tcPr/>
          <w:p>
            <w:pPr>
              <w:pStyle w:val="Compact"/>
              <w:jc w:val="left"/>
            </w:pPr>
            <w:r>
              <w:t xml:space="preserve">22,000.00</w:t>
            </w:r>
          </w:p>
        </w:tc>
        <w:tc>
          <w:tcPr/>
          <w:p>
            <w:pPr>
              <w:pStyle w:val="Compact"/>
              <w:jc w:val="left"/>
            </w:pPr>
            <w:r>
              <w:t xml:space="preserve">3</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Employee performance management system design and implementation oversight by the Human Resources Manager</w:t>
            </w:r>
          </w:p>
        </w:tc>
        <w:tc>
          <w:tcPr/>
          <w:p>
            <w:pPr>
              <w:pStyle w:val="Compact"/>
              <w:jc w:val="left"/>
            </w:pPr>
            <w:r>
              <w:t xml:space="preserve">Mar – May 2025</w:t>
            </w:r>
          </w:p>
        </w:tc>
        <w:tc>
          <w:tcPr/>
          <w:p>
            <w:pPr>
              <w:pStyle w:val="Compact"/>
              <w:jc w:val="left"/>
            </w:pPr>
            <w:r>
              <w:t xml:space="preserve">15,750.00</w:t>
            </w:r>
          </w:p>
        </w:tc>
        <w:tc>
          <w:tcPr/>
          <w:p>
            <w:pPr>
              <w:pStyle w:val="Compact"/>
              <w:jc w:val="left"/>
            </w:pPr>
            <w:r>
              <w:t xml:space="preserve">3</w:t>
            </w:r>
          </w:p>
        </w:tc>
        <w:tc>
          <w:tcPr/>
          <w:p>
            <w:pPr>
              <w:pStyle w:val="Compact"/>
              <w:jc w:val="left"/>
            </w:pPr>
            <w:r>
              <w:t xml:space="preserve">47,250.00</w:t>
            </w:r>
          </w:p>
        </w:tc>
      </w:tr>
      <w:tr>
        <w:tc>
          <w:tcPr/>
          <w:p>
            <w:pPr>
              <w:pStyle w:val="Compact"/>
              <w:jc w:val="left"/>
            </w:pPr>
            <w:r>
              <w:t xml:space="preserve">4</w:t>
            </w:r>
          </w:p>
        </w:tc>
        <w:tc>
          <w:tcPr/>
          <w:p>
            <w:pPr>
              <w:pStyle w:val="Compact"/>
              <w:jc w:val="left"/>
            </w:pPr>
            <w:r>
              <w:t xml:space="preserve">Compliance audit with Egyptian Labor Law (Law No. 12 of 2003) and local Alexandria municipal labor regulations</w:t>
            </w:r>
          </w:p>
        </w:tc>
        <w:tc>
          <w:tcPr/>
          <w:p>
            <w:pPr>
              <w:pStyle w:val="Compact"/>
              <w:jc w:val="left"/>
            </w:pPr>
            <w:r>
              <w:t xml:space="preserve">Apr – May 2025</w:t>
            </w:r>
          </w:p>
        </w:tc>
        <w:tc>
          <w:tcPr/>
          <w:p>
            <w:pPr>
              <w:pStyle w:val="Compact"/>
              <w:jc w:val="left"/>
            </w:pPr>
            <w:r>
              <w:t xml:space="preserve">12,000.00</w:t>
            </w:r>
          </w:p>
        </w:tc>
        <w:tc>
          <w:tcPr/>
          <w:p>
            <w:pPr>
              <w:pStyle w:val="Compact"/>
              <w:jc w:val="left"/>
            </w:pPr>
            <w:r>
              <w:t xml:space="preserve">2</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Training and development program design for 200+ employees, managed by the Human Resources Manager</w:t>
            </w:r>
          </w:p>
        </w:tc>
        <w:tc>
          <w:tcPr/>
          <w:p>
            <w:pPr>
              <w:pStyle w:val="Compact"/>
              <w:jc w:val="left"/>
            </w:pPr>
            <w:r>
              <w:t xml:space="preserve">May – Jun 2025</w:t>
            </w:r>
          </w:p>
        </w:tc>
        <w:tc>
          <w:tcPr/>
          <w:p>
            <w:pPr>
              <w:pStyle w:val="Compact"/>
              <w:jc w:val="left"/>
            </w:pPr>
            <w:r>
              <w:t xml:space="preserve">9,500.00</w:t>
            </w:r>
          </w:p>
        </w:tc>
        <w:tc>
          <w:tcPr/>
          <w:p>
            <w:pPr>
              <w:pStyle w:val="Compact"/>
              <w:jc w:val="left"/>
            </w:pPr>
            <w:r>
              <w:t xml:space="preserve">2</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Monthly HR reporting, payroll coordination, and benefits administration in Egypt Alexandria</w:t>
            </w:r>
          </w:p>
        </w:tc>
        <w:tc>
          <w:tcPr/>
          <w:p>
            <w:pPr>
              <w:pStyle w:val="Compact"/>
              <w:jc w:val="left"/>
            </w:pPr>
            <w:r>
              <w:t xml:space="preserve">Jan – Jun 2025</w:t>
            </w:r>
          </w:p>
        </w:tc>
        <w:tc>
          <w:tcPr/>
          <w:p>
            <w:pPr>
              <w:pStyle w:val="Compact"/>
              <w:jc w:val="left"/>
            </w:pPr>
            <w:r>
              <w:t xml:space="preserve">7,800.00</w:t>
            </w:r>
          </w:p>
        </w:tc>
        <w:tc>
          <w:tcPr/>
          <w:p>
            <w:pPr>
              <w:pStyle w:val="Compact"/>
              <w:jc w:val="left"/>
            </w:pPr>
            <w:r>
              <w:t xml:space="preserve">6</w:t>
            </w:r>
          </w:p>
        </w:tc>
        <w:tc>
          <w:tcPr/>
          <w:p>
            <w:pPr>
              <w:pStyle w:val="Compact"/>
              <w:jc w:val="left"/>
            </w:pPr>
            <w:r>
              <w:t xml:space="preserve">46,800.00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258,550.00 EGP</w:t>
            </w:r>
          </w:p>
        </w:tc>
      </w:tr>
      <w:tr>
        <w:tc>
          <w:tcPr/>
          <w:p>
            <w:pPr>
              <w:pStyle w:val="Compact"/>
              <w:jc w:val="left"/>
            </w:pPr>
            <w:r>
              <w:t xml:space="preserve">VAT (14% – Egyptian Tax Authority)</w:t>
            </w:r>
          </w:p>
        </w:tc>
        <w:tc>
          <w:tcPr/>
          <w:p>
            <w:pPr>
              <w:pStyle w:val="Compact"/>
              <w:jc w:val="left"/>
            </w:pPr>
            <w:r>
              <w:t xml:space="preserve">36,197.00 EGP</w:t>
            </w:r>
          </w:p>
        </w:tc>
      </w:tr>
      <w:tr>
        <w:tc>
          <w:tcPr/>
          <w:p>
            <w:pPr>
              <w:pStyle w:val="Compact"/>
              <w:jc w:val="left"/>
            </w:pPr>
            <w:r>
              <w:t xml:space="preserve">Service Fee (2%)</w:t>
            </w:r>
          </w:p>
        </w:tc>
        <w:tc>
          <w:tcPr/>
          <w:p>
            <w:pPr>
              <w:pStyle w:val="Compact"/>
              <w:jc w:val="left"/>
            </w:pPr>
            <w:r>
              <w:t xml:space="preserve">5,171.00 EGP</w:t>
            </w:r>
          </w:p>
        </w:tc>
      </w:tr>
      <w:tr>
        <w:tc>
          <w:tcPr/>
          <w:p>
            <w:pPr>
              <w:pStyle w:val="Compact"/>
              <w:jc w:val="left"/>
            </w:pPr>
            <w:r>
              <w:t xml:space="preserve">Grand Total Due</w:t>
            </w:r>
          </w:p>
        </w:tc>
        <w:tc>
          <w:tcPr/>
          <w:p>
            <w:pPr>
              <w:pStyle w:val="Compact"/>
              <w:jc w:val="left"/>
            </w:pPr>
            <w:r>
              <w:t xml:space="preserve">299,918.00 EGP</w:t>
            </w:r>
          </w:p>
        </w:tc>
      </w:tr>
    </w:tbl>
    <w:bookmarkStart w:id="24" w:name="invoice-notes-service-summary"/>
    <w:p>
      <w:pPr>
        <w:pStyle w:val="Heading3"/>
      </w:pPr>
      <w:r>
        <w:t xml:space="preserve">Invoice Notes &amp; Service Summary</w:t>
      </w:r>
    </w:p>
    <w:p>
      <w:pPr>
        <w:pStyle w:val="FirstParagraph"/>
      </w:pPr>
      <w:r>
        <w:t xml:space="preserve">This Invoice is issued by Alexandria HR Solutions Ltd. for professional services rendered by Ms. Nour El-Din Hassan, Human Resources Manager, to Medina Coastal Industries S.A.E. All services were performed in accordance with the contractual agreement dated 5 January 2025 (Contract Ref: MCI-AHR-2025-001) and applicable Egyptian labor legislation.</w:t>
      </w:r>
    </w:p>
    <w:p>
      <w:pPr>
        <w:pStyle w:val="BodyText"/>
      </w:pPr>
      <w:r>
        <w:t xml:space="preserve">The Human Resources Manager provided on-site and remote services throughout the Egypt Alexandria metropolitan area, including the Smouha, Eastern, and Western districts. All deliverables, including the organizational restructuring report, recruitment pipeline documentation, performance evaluation frameworks, and compliance audit findings, have been submitted to the client's finance department in both digital and hard-copy formats.</w:t>
      </w:r>
    </w:p>
    <w:p>
      <w:pPr>
        <w:pStyle w:val="BodyText"/>
      </w:pPr>
      <w:r>
        <w:t xml:space="preserve">This Invoice constitutes the final settlement for all Human Resources Manager services rendered during the period of January 2025 through June 2025. No additional charges shall apply beyond the amounts stated herein unless a written amendment to the service agreement is executed by both parties.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Egypt – Alexandria Main Branch</w:t>
      </w:r>
    </w:p>
    <w:p>
      <w:pPr>
        <w:pStyle w:val="BodyText"/>
      </w:pPr>
      <w:r>
        <w:rPr>
          <w:bCs/>
          <w:b/>
        </w:rPr>
        <w:t xml:space="preserve">Account Name:</w:t>
      </w:r>
      <w:r>
        <w:t xml:space="preserve"> </w:t>
      </w:r>
      <w:r>
        <w:t xml:space="preserve">Alexandria HR Solutions Ltd.</w:t>
      </w:r>
    </w:p>
    <w:p>
      <w:pPr>
        <w:pStyle w:val="BodyText"/>
      </w:pPr>
      <w:r>
        <w:rPr>
          <w:bCs/>
          <w:b/>
        </w:rPr>
        <w:t xml:space="preserve">Account Number (IBAN):</w:t>
      </w:r>
      <w:r>
        <w:t xml:space="preserve"> </w:t>
      </w:r>
      <w:r>
        <w:t xml:space="preserve">EG38 NBEK 0000 1099 4455 6677 8899</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quote Invoice No. AHR-2025-00472 in all payment communications.</w:t>
      </w:r>
    </w:p>
    <w:p>
      <w:pPr>
        <w:pStyle w:val="BodyText"/>
      </w:pPr>
      <w:r>
        <w:rPr>
          <w:bCs/>
          <w:b/>
        </w:rPr>
        <w:t xml:space="preserve">Accepted Methods:</w:t>
      </w:r>
      <w:r>
        <w:t xml:space="preserve"> </w:t>
      </w:r>
      <w:r>
        <w:t xml:space="preserve">Bank Transfer (T/T), Cheque (payable to Alexandria HR Solutions Ltd.), or Egyptian Central Bank approved electronic payment.</w:t>
      </w:r>
    </w:p>
    <w:p>
      <w:pPr>
        <w:pStyle w:val="BodyText"/>
      </w:pPr>
      <w:r>
        <w:rPr>
          <w:bCs/>
          <w:b/>
        </w:rPr>
        <w:t xml:space="preserve">Overdue Penalty:</w:t>
      </w:r>
      <w:r>
        <w:t xml:space="preserve"> </w:t>
      </w:r>
      <w:r>
        <w:t xml:space="preserve">A late payment interest of 1.5% per month shall apply to any balance outstanding beyond the due date of 30 June 2025, in compliance with Egyptian commercial law.</w:t>
      </w:r>
    </w:p>
    <w:bookmarkEnd w:id="25"/>
    <w:p>
      <w:pPr>
        <w:pStyle w:val="BodyText"/>
      </w:pPr>
      <w:r>
        <w:rPr>
          <w:bCs/>
          <w:b/>
        </w:rPr>
        <w:t xml:space="preserve">Alexandria HR Solutions Ltd.</w:t>
      </w:r>
      <w:r>
        <w:t xml:space="preserve"> </w:t>
      </w:r>
      <w:r>
        <w:t xml:space="preserve">– Registered in Alexandria, Egypt | Commercial Registration No. 445-2019-0087</w:t>
      </w:r>
    </w:p>
    <w:p>
      <w:pPr>
        <w:pStyle w:val="BodyText"/>
      </w:pPr>
      <w:r>
        <w:t xml:space="preserve">This Invoice is valid for 90 days from the issue date. For disputes or queries regarding this Invoice, please contact the billing department at billing@alexhr-solutions.com or call +20 3 482 5567 (Mon–Fri, 9:00 AM – 5:00 PM Egypt Standard Time).</w:t>
      </w:r>
    </w:p>
    <w:p>
      <w:pPr>
        <w:pStyle w:val="BodyText"/>
      </w:pPr>
      <w:r>
        <w:t xml:space="preserve">Thank you for your business. We value our partnership and look forward to continuing to support your Human Resources Manager needs in Egypt Alexandria.</w:t>
      </w:r>
    </w:p>
    <w:p>
      <w:pPr>
        <w:pStyle w:val="BodyText"/>
      </w:pPr>
      <w:r>
        <w:t xml:space="preserve">This document is a legally binding Invoice issued under Egyptian Commercial Law and the Egyptian Tax Procedures Law (Law No. 206 of 2020). Generated electronically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Egypt Alexandria</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