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meridian-hr-consulting-gmbh"/>
    <w:p>
      <w:pPr>
        <w:pStyle w:val="Heading1"/>
      </w:pPr>
      <w:r>
        <w:t xml:space="preserve">Meridian HR Consulting GmbH</w:t>
      </w:r>
    </w:p>
    <w:p>
      <w:pPr>
        <w:pStyle w:val="FirstParagraph"/>
      </w:pPr>
      <w:r>
        <w:t xml:space="preserve">Unter den Linden 42, 10117 Berlin, Germany</w:t>
      </w:r>
    </w:p>
    <w:p>
      <w:pPr>
        <w:pStyle w:val="BodyText"/>
      </w:pPr>
      <w:r>
        <w:t xml:space="preserve">Phone: +49 (0)30 555 7821</w:t>
      </w:r>
    </w:p>
    <w:p>
      <w:pPr>
        <w:pStyle w:val="BodyText"/>
      </w:pPr>
      <w:r>
        <w:t xml:space="preserve">Email: billing@meridianhr-berlin.de</w:t>
      </w:r>
    </w:p>
    <w:p>
      <w:pPr>
        <w:pStyle w:val="BodyText"/>
      </w:pPr>
      <w:r>
        <w:t xml:space="preserve">USt-IdNr.: DE 312 456 789</w:t>
      </w:r>
    </w:p>
    <w:p>
      <w:pPr>
        <w:pStyle w:val="BodyText"/>
      </w:pPr>
      <w:r>
        <w:t xml:space="preserve">HRB 123456 B, Amtsgericht Berlin-Charlottenburg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INV-2025-BER-00487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TechnoVista Solutions AG</w:t>
      </w:r>
    </w:p>
    <w:p>
      <w:pPr>
        <w:pStyle w:val="BodyText"/>
      </w:pPr>
      <w:r>
        <w:t xml:space="preserve">Attn: Dr. Katharina Müller, Chief Executive Officer</w:t>
      </w:r>
    </w:p>
    <w:p>
      <w:pPr>
        <w:pStyle w:val="BodyText"/>
      </w:pPr>
      <w:r>
        <w:t xml:space="preserve">Frankfurter Allee 185</w:t>
      </w:r>
    </w:p>
    <w:p>
      <w:pPr>
        <w:pStyle w:val="BodyText"/>
      </w:pPr>
      <w:r>
        <w:t xml:space="preserve">10247 Berlin, Germany</w:t>
      </w:r>
    </w:p>
    <w:p>
      <w:pPr>
        <w:pStyle w:val="BodyText"/>
      </w:pPr>
      <w:r>
        <w:t xml:space="preserve">VAT ID: DE 298 765 432</w:t>
      </w:r>
    </w:p>
    <w:bookmarkEnd w:id="22"/>
    <w:bookmarkStart w:id="23" w:name="service-provider"/>
    <w:p>
      <w:pPr>
        <w:pStyle w:val="Heading3"/>
      </w:pPr>
      <w:r>
        <w:t xml:space="preserve">Service Provider</w:t>
      </w:r>
    </w:p>
    <w:p>
      <w:pPr>
        <w:pStyle w:val="FirstParagraph"/>
      </w:pPr>
      <w:r>
        <w:rPr>
          <w:bCs/>
          <w:b/>
        </w:rPr>
        <w:t xml:space="preserve">Meridian HR Consulting GmbH</w:t>
      </w:r>
    </w:p>
    <w:p>
      <w:pPr>
        <w:pStyle w:val="BodyText"/>
      </w:pPr>
      <w:r>
        <w:t xml:space="preserve">Lead Consultant: Stefan Brandt</w:t>
      </w:r>
    </w:p>
    <w:p>
      <w:pPr>
        <w:pStyle w:val="BodyText"/>
      </w:pPr>
      <w:r>
        <w:t xml:space="preserve">Human Resources Manager, Senior Level</w:t>
      </w:r>
    </w:p>
    <w:p>
      <w:pPr>
        <w:pStyle w:val="BodyText"/>
      </w:pPr>
      <w:r>
        <w:t xml:space="preserve">Unter den Linden 42</w:t>
      </w:r>
    </w:p>
    <w:p>
      <w:pPr>
        <w:pStyle w:val="BodyText"/>
      </w:pPr>
      <w:r>
        <w:t xml:space="preserve">10117 Berlin, Germany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workforce planning and organizational restructuring advisory for the Berlin headquarters. The Human Resources Manager conducted a comprehensive analysis of departmental headcount, role alignment, and future staffing requirements in compliance with German labor law (BetrVG).</w:t>
            </w:r>
          </w:p>
        </w:tc>
        <w:tc>
          <w:tcPr/>
          <w:p>
            <w:pPr>
              <w:pStyle w:val="Compact"/>
              <w:jc w:val="left"/>
            </w:pPr>
            <w:r>
              <w:t xml:space="preserve">145.00</w:t>
            </w:r>
          </w:p>
        </w:tc>
        <w:tc>
          <w:tcPr/>
          <w:p>
            <w:pPr>
              <w:pStyle w:val="Compact"/>
              <w:jc w:val="left"/>
            </w:pPr>
            <w:r>
              <w:t xml:space="preserve">24</w:t>
            </w:r>
          </w:p>
        </w:tc>
        <w:tc>
          <w:tcPr/>
          <w:p>
            <w:pPr>
              <w:pStyle w:val="Compact"/>
              <w:jc w:val="left"/>
            </w:pPr>
            <w:r>
              <w:t xml:space="preserve">3,480.00</w:t>
            </w:r>
          </w:p>
        </w:tc>
      </w:tr>
      <w:tr>
        <w:tc>
          <w:tcPr/>
          <w:p>
            <w:pPr>
              <w:pStyle w:val="Compact"/>
              <w:jc w:val="left"/>
            </w:pPr>
            <w:r>
              <w:t xml:space="preserve">02</w:t>
            </w:r>
          </w:p>
        </w:tc>
        <w:tc>
          <w:tcPr/>
          <w:p>
            <w:pPr>
              <w:pStyle w:val="Compact"/>
              <w:jc w:val="left"/>
            </w:pPr>
            <w:r>
              <w:t xml:space="preserve">End-to-end recruitment management for 12 open positions across engineering and operations divisions. The Human Resources Manager coordinated job postings, candidate screening, structured interviews, and final onboarding protocols in accordance with the General Equal Treatment Act (AGG) applicable in Germany Berlin.</w:t>
            </w:r>
          </w:p>
        </w:tc>
        <w:tc>
          <w:tcPr/>
          <w:p>
            <w:pPr>
              <w:pStyle w:val="Compact"/>
              <w:jc w:val="left"/>
            </w:pPr>
            <w:r>
              <w:t xml:space="preserve">145.00</w:t>
            </w:r>
          </w:p>
        </w:tc>
        <w:tc>
          <w:tcPr/>
          <w:p>
            <w:pPr>
              <w:pStyle w:val="Compact"/>
              <w:jc w:val="left"/>
            </w:pPr>
            <w:r>
              <w:t xml:space="preserve">40</w:t>
            </w:r>
          </w:p>
        </w:tc>
        <w:tc>
          <w:tcPr/>
          <w:p>
            <w:pPr>
              <w:pStyle w:val="Compact"/>
              <w:jc w:val="left"/>
            </w:pPr>
            <w:r>
              <w:t xml:space="preserve">5,800.00</w:t>
            </w:r>
          </w:p>
        </w:tc>
      </w:tr>
      <w:tr>
        <w:tc>
          <w:tcPr/>
          <w:p>
            <w:pPr>
              <w:pStyle w:val="Compact"/>
              <w:jc w:val="left"/>
            </w:pPr>
            <w:r>
              <w:t xml:space="preserve">03</w:t>
            </w:r>
          </w:p>
        </w:tc>
        <w:tc>
          <w:tcPr/>
          <w:p>
            <w:pPr>
              <w:pStyle w:val="Compact"/>
              <w:jc w:val="left"/>
            </w:pPr>
            <w:r>
              <w:t xml:space="preserve">Employee performance management system design and implementation. The Human Resources Manager developed KPI frameworks, conducted calibration workshops with department heads, and established quarterly review cycles aligned with the company's strategic objectives in the Germany Berlin market.</w:t>
            </w:r>
          </w:p>
        </w:tc>
        <w:tc>
          <w:tcPr/>
          <w:p>
            <w:pPr>
              <w:pStyle w:val="Compact"/>
              <w:jc w:val="left"/>
            </w:pPr>
            <w:r>
              <w:t xml:space="preserve">145.00</w:t>
            </w:r>
          </w:p>
        </w:tc>
        <w:tc>
          <w:tcPr/>
          <w:p>
            <w:pPr>
              <w:pStyle w:val="Compact"/>
              <w:jc w:val="left"/>
            </w:pPr>
            <w:r>
              <w:t xml:space="preserve">32</w:t>
            </w:r>
          </w:p>
        </w:tc>
        <w:tc>
          <w:tcPr/>
          <w:p>
            <w:pPr>
              <w:pStyle w:val="Compact"/>
              <w:jc w:val="left"/>
            </w:pPr>
            <w:r>
              <w:t xml:space="preserve">4,640.00</w:t>
            </w:r>
          </w:p>
        </w:tc>
      </w:tr>
      <w:tr>
        <w:tc>
          <w:tcPr/>
          <w:p>
            <w:pPr>
              <w:pStyle w:val="Compact"/>
              <w:jc w:val="left"/>
            </w:pPr>
            <w:r>
              <w:t xml:space="preserve">04</w:t>
            </w:r>
          </w:p>
        </w:tc>
        <w:tc>
          <w:tcPr/>
          <w:p>
            <w:pPr>
              <w:pStyle w:val="Compact"/>
              <w:jc w:val="left"/>
            </w:pPr>
            <w:r>
              <w:t xml:space="preserve">Employee relations and conflict resolution support. The Human Resources Manager mediated three internal disputes, drafted revised employment contracts compliant with German statutory requirements, and conducted a works council (Betriebsrat) consultation session as mandated under German labor regulations.</w:t>
            </w:r>
          </w:p>
        </w:tc>
        <w:tc>
          <w:tcPr/>
          <w:p>
            <w:pPr>
              <w:pStyle w:val="Compact"/>
              <w:jc w:val="left"/>
            </w:pPr>
            <w:r>
              <w:t xml:space="preserve">145.00</w:t>
            </w:r>
          </w:p>
        </w:tc>
        <w:tc>
          <w:tcPr/>
          <w:p>
            <w:pPr>
              <w:pStyle w:val="Compact"/>
              <w:jc w:val="left"/>
            </w:pPr>
            <w:r>
              <w:t xml:space="preserve">18</w:t>
            </w:r>
          </w:p>
        </w:tc>
        <w:tc>
          <w:tcPr/>
          <w:p>
            <w:pPr>
              <w:pStyle w:val="Compact"/>
              <w:jc w:val="left"/>
            </w:pPr>
            <w:r>
              <w:t xml:space="preserve">2,610.00</w:t>
            </w:r>
          </w:p>
        </w:tc>
      </w:tr>
      <w:tr>
        <w:tc>
          <w:tcPr/>
          <w:p>
            <w:pPr>
              <w:pStyle w:val="Compact"/>
              <w:jc w:val="left"/>
            </w:pPr>
            <w:r>
              <w:t xml:space="preserve">05</w:t>
            </w:r>
          </w:p>
        </w:tc>
        <w:tc>
          <w:tcPr/>
          <w:p>
            <w:pPr>
              <w:pStyle w:val="Compact"/>
              <w:jc w:val="left"/>
            </w:pPr>
            <w:r>
              <w:t xml:space="preserve">HR compliance audit and policy documentation. The Human Resources Manager performed a full audit of existing HR policies against current German federal and Berlin state employment regulations, updated the employee handbook, and prepared a compliance report for the board of directors.</w:t>
            </w:r>
          </w:p>
        </w:tc>
        <w:tc>
          <w:tcPr/>
          <w:p>
            <w:pPr>
              <w:pStyle w:val="Compact"/>
              <w:jc w:val="left"/>
            </w:pPr>
            <w:r>
              <w:t xml:space="preserve">145.00</w:t>
            </w:r>
          </w:p>
        </w:tc>
        <w:tc>
          <w:tcPr/>
          <w:p>
            <w:pPr>
              <w:pStyle w:val="Compact"/>
              <w:jc w:val="left"/>
            </w:pPr>
            <w:r>
              <w:t xml:space="preserve">20</w:t>
            </w:r>
          </w:p>
        </w:tc>
        <w:tc>
          <w:tcPr/>
          <w:p>
            <w:pPr>
              <w:pStyle w:val="Compact"/>
              <w:jc w:val="left"/>
            </w:pPr>
            <w:r>
              <w:t xml:space="preserve">2,900.00</w:t>
            </w:r>
          </w:p>
        </w:tc>
      </w:tr>
      <w:tr>
        <w:tc>
          <w:tcPr/>
          <w:p>
            <w:pPr>
              <w:pStyle w:val="Compact"/>
              <w:jc w:val="left"/>
            </w:pPr>
            <w:r>
              <w:t xml:space="preserve">06</w:t>
            </w:r>
          </w:p>
        </w:tc>
        <w:tc>
          <w:tcPr/>
          <w:p>
            <w:pPr>
              <w:pStyle w:val="Compact"/>
              <w:jc w:val="left"/>
            </w:pPr>
            <w:r>
              <w:t xml:space="preserve">Training and development program coordination. The Human Resources Manager designed and delivered a leadership development workshop for 15 middle managers, arranged external training partnerships with Berlin-based institutions, and established a continuous professional development tracking system.</w:t>
            </w:r>
          </w:p>
        </w:tc>
        <w:tc>
          <w:tcPr/>
          <w:p>
            <w:pPr>
              <w:pStyle w:val="Compact"/>
              <w:jc w:val="left"/>
            </w:pPr>
            <w:r>
              <w:t xml:space="preserve">145.00</w:t>
            </w:r>
          </w:p>
        </w:tc>
        <w:tc>
          <w:tcPr/>
          <w:p>
            <w:pPr>
              <w:pStyle w:val="Compact"/>
              <w:jc w:val="left"/>
            </w:pPr>
            <w:r>
              <w:t xml:space="preserve">16</w:t>
            </w:r>
          </w:p>
        </w:tc>
        <w:tc>
          <w:tcPr/>
          <w:p>
            <w:pPr>
              <w:pStyle w:val="Compact"/>
              <w:jc w:val="left"/>
            </w:pPr>
            <w:r>
              <w:t xml:space="preserve">2,320.00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21,750.00 EUR</w:t>
            </w:r>
          </w:p>
        </w:tc>
      </w:tr>
      <w:tr>
        <w:tc>
          <w:tcPr/>
          <w:p>
            <w:pPr>
              <w:pStyle w:val="Compact"/>
              <w:jc w:val="left"/>
            </w:pPr>
            <w:r>
              <w:t xml:space="preserve">VAT (19% – USt)</w:t>
            </w:r>
          </w:p>
        </w:tc>
        <w:tc>
          <w:tcPr/>
          <w:p>
            <w:pPr>
              <w:pStyle w:val="Compact"/>
              <w:jc w:val="left"/>
            </w:pPr>
            <w:r>
              <w:t xml:space="preserve">4,132.50 EUR</w:t>
            </w:r>
          </w:p>
        </w:tc>
      </w:tr>
      <w:tr>
        <w:tc>
          <w:tcPr/>
          <w:p>
            <w:pPr>
              <w:pStyle w:val="Compact"/>
              <w:jc w:val="left"/>
            </w:pPr>
            <w:r>
              <w:t xml:space="preserve">Total Amount Due</w:t>
            </w:r>
          </w:p>
        </w:tc>
        <w:tc>
          <w:tcPr/>
          <w:p>
            <w:pPr>
              <w:pStyle w:val="Compact"/>
              <w:jc w:val="left"/>
            </w:pPr>
            <w:r>
              <w:t xml:space="preserve">25,882.50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Deutsche Bank AG, Berlin Branch</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DEUTDEBBXXX</w:t>
      </w:r>
    </w:p>
    <w:p>
      <w:pPr>
        <w:pStyle w:val="BodyText"/>
      </w:pPr>
      <w:r>
        <w:rPr>
          <w:bCs/>
          <w:b/>
        </w:rPr>
        <w:t xml:space="preserve">Reference:</w:t>
      </w:r>
      <w:r>
        <w:t xml:space="preserve"> </w:t>
      </w:r>
      <w:r>
        <w:t xml:space="preserve">INV-2025-BER-00487</w:t>
      </w:r>
    </w:p>
    <w:p>
      <w:pPr>
        <w:pStyle w:val="BodyText"/>
      </w:pPr>
      <w:r>
        <w:rPr>
          <w:bCs/>
          <w:b/>
        </w:rPr>
        <w:t xml:space="preserve">Payment Terms:</w:t>
      </w:r>
      <w:r>
        <w:t xml:space="preserve"> </w:t>
      </w:r>
      <w:r>
        <w:t xml:space="preserve">Net 14 days from the date of this Invoice. Please ensure the Invoice number is included as a reference in your bank transfer to facilitate accurate reconciliation of this payment against the services rendered by the Human Resources Manager during the billing period.</w:t>
      </w:r>
    </w:p>
    <w:p>
      <w:pPr>
        <w:pStyle w:val="BodyText"/>
      </w:pPr>
      <w:r>
        <w:rPr>
          <w:bCs/>
          <w:b/>
        </w:rPr>
        <w:t xml:space="preserve">Accepted Methods:</w:t>
      </w:r>
      <w:r>
        <w:t xml:space="preserve"> </w:t>
      </w:r>
      <w:r>
        <w:t xml:space="preserve">SEPA Bank Transfer, Wire Transfer</w:t>
      </w:r>
    </w:p>
    <w:bookmarkEnd w:id="24"/>
    <w:bookmarkStart w:id="25" w:name="notes-and-terms"/>
    <w:p>
      <w:pPr>
        <w:pStyle w:val="Heading3"/>
      </w:pPr>
      <w:r>
        <w:t xml:space="preserve">Notes and Terms</w:t>
      </w:r>
    </w:p>
    <w:p>
      <w:pPr>
        <w:pStyle w:val="FirstParagraph"/>
      </w:pPr>
      <w:r>
        <w:t xml:space="preserve">1. This Invoice covers professional services rendered by the Human Resources Manager, Stefan Brandt, on behalf of Meridian HR Consulting GmbH for the period of May 2025. All services were performed at the client's premises in Germany Berlin or via secure remote consultation as agreed in the master service agreement dated 01 January 2025.</w:t>
      </w:r>
    </w:p>
    <w:p>
      <w:pPr>
        <w:pStyle w:val="BodyText"/>
      </w:pPr>
      <w:r>
        <w:t xml:space="preserve">2. All rates are exclusive of Value Added Tax (VAT). The applicable VAT rate of 19% has been applied in accordance with the German Goods and Services Tax Act (UStG). This Invoice is issued in compliance with § 14 UStG and § 43 AO (Abgabenordnung).</w:t>
      </w:r>
    </w:p>
    <w:p>
      <w:pPr>
        <w:pStyle w:val="BodyText"/>
      </w:pPr>
      <w:r>
        <w:t xml:space="preserve">3. In the event of late payment, statutory interest of 8 percentage points above the European Central Bank base rate for business transactions (Verzugszins) shall apply as per § 288 BGB. The client is reminded that this Invoice must be settled by the stated due date to avoid any additional charges.</w:t>
      </w:r>
    </w:p>
    <w:p>
      <w:pPr>
        <w:pStyle w:val="BodyText"/>
      </w:pPr>
      <w:r>
        <w:t xml:space="preserve">4. The Human Resources Manager's services are governed by the terms of the Master Service Agreement (MSA) between the parties. Any disputes arising from this Invoice or the underlying services shall be subject to the exclusive jurisdiction of the competent courts in Berlin, Germany.</w:t>
      </w:r>
    </w:p>
    <w:p>
      <w:pPr>
        <w:pStyle w:val="BodyText"/>
      </w:pPr>
      <w:r>
        <w:t xml:space="preserve">5. This Invoice is valid for a period of 12 months from the date of issue. Please retain this document for your tax records. A digital copy of this Invoice has been transmitted via the secure client portal.</w:t>
      </w:r>
    </w:p>
    <w:bookmarkEnd w:id="25"/>
    <w:p>
      <w:pPr>
        <w:pStyle w:val="BodyText"/>
      </w:pPr>
      <w:r>
        <w:t xml:space="preserve">Meridian HR Consulting GmbH is a limited liability company registered in Berlin, Germany. Managing Director: Dr. Anke Friedrichs. The company is registered with the Commercial Register (Handelsregister) of the Amtsgericht Berlin-Charlottenburg under HRB 123456 B. The Human Resources Manager services described in this Invoice are provided under a professional services contract and are subject to the German Civil Code (BGB) and applicable labor regulations in force in Germany Berlin at the time of service delivery.</w:t>
      </w:r>
    </w:p>
    <w:p>
      <w:pPr>
        <w:pStyle w:val="BodyText"/>
      </w:pPr>
      <w:r>
        <w:t xml:space="preserve">This Invoice has been prepared in accordance with the German Tax Code and the requirements of the Federal Central Tax Office (Bundeszentralamt für Steuern). For questions regarding this Invoice, please contact our billing department at billing@meridianhr-berlin.de or by telephone at +49 (0)30 555 7821, Monday through Friday, 09:00–17:00 CET.</w:t>
      </w:r>
    </w:p>
    <w:p>
      <w:pPr>
        <w:pStyle w:val="BodyText"/>
      </w:pPr>
      <w:r>
        <w:t xml:space="preserve">Thank you for your business. We appreciate the opportunity to support your organization with expert Human Resources Manager services in Germany Berlin.</w:t>
      </w:r>
    </w:p>
    <w:p>
      <w:pPr>
        <w:pStyle w:val="BodyText"/>
      </w:pPr>
      <w:r>
        <w:t xml:space="preserve">Meridian HR Consulting GmbH — Excellence in Human Capital Management — Berlin, Germany</w:t>
      </w:r>
    </w:p>
    <w:p>
      <w:pPr>
        <w:pStyle w:val="BodyText"/>
      </w:pPr>
      <w:r>
        <w:t xml:space="preserve">Invoice INV-2025-BER-00487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Germany Berlin</dc:title>
  <dc:creator/>
  <dc:language>en</dc:language>
  <cp:keywords/>
  <dcterms:created xsi:type="dcterms:W3CDTF">2026-10-10T03:36:00Z</dcterms:created>
  <dcterms:modified xsi:type="dcterms:W3CDTF">2026-10-10T03:36:00Z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