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frankfurt-hr-solutions-gmbh"/>
    <w:p>
      <w:pPr>
        <w:pStyle w:val="Heading1"/>
      </w:pPr>
      <w:r>
        <w:t xml:space="preserve">Frankfurt HR Solutions GmbH</w:t>
      </w:r>
    </w:p>
    <w:p>
      <w:pPr>
        <w:pStyle w:val="FirstParagraph"/>
      </w:pPr>
      <w:r>
        <w:t xml:space="preserve">Mainzer Landstraße 142</w:t>
      </w:r>
    </w:p>
    <w:p>
      <w:pPr>
        <w:pStyle w:val="BodyText"/>
      </w:pPr>
      <w:r>
        <w:t xml:space="preserve">60329 Frankfurt am Main, Germany</w:t>
      </w:r>
    </w:p>
    <w:p>
      <w:pPr>
        <w:pStyle w:val="BodyText"/>
      </w:pPr>
      <w:r>
        <w:t xml:space="preserve">Phone: +49 69 4455 7820</w:t>
      </w:r>
    </w:p>
    <w:p>
      <w:pPr>
        <w:pStyle w:val="BodyText"/>
      </w:pPr>
      <w:r>
        <w:t xml:space="preserve">Email: billing@frankfurthrsolutions.de</w:t>
      </w:r>
    </w:p>
    <w:p>
      <w:pPr>
        <w:pStyle w:val="BodyText"/>
      </w:pPr>
      <w:r>
        <w:t xml:space="preserve">USt-IdNr.: DE 318 456 721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FHR-2025-0487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to"/>
    <w:p>
      <w:pPr>
        <w:pStyle w:val="Heading3"/>
      </w:pPr>
      <w:r>
        <w:t xml:space="preserve">Bill To</w:t>
      </w:r>
    </w:p>
    <w:p>
      <w:pPr>
        <w:pStyle w:val="FirstParagraph"/>
      </w:pPr>
      <w:r>
        <w:rPr>
          <w:bCs/>
          <w:b/>
        </w:rPr>
        <w:t xml:space="preserve">Meridian Corporate Group AG</w:t>
      </w:r>
    </w:p>
    <w:p>
      <w:pPr>
        <w:pStyle w:val="BodyText"/>
      </w:pPr>
      <w:r>
        <w:t xml:space="preserve">Attn: Dr. Katharina Weber, Chief Executive Officer</w:t>
      </w:r>
    </w:p>
    <w:p>
      <w:pPr>
        <w:pStyle w:val="BodyText"/>
      </w:pPr>
      <w:r>
        <w:t xml:space="preserve">Bockenheimer Landstraße 88</w:t>
      </w:r>
    </w:p>
    <w:p>
      <w:pPr>
        <w:pStyle w:val="BodyText"/>
      </w:pPr>
      <w:r>
        <w:t xml:space="preserve">60323 Frankfurt am Main, Germany</w:t>
      </w:r>
    </w:p>
    <w:p>
      <w:pPr>
        <w:pStyle w:val="BodyText"/>
      </w:pPr>
      <w:r>
        <w:t xml:space="preserve">VAT ID: DE 294 112 850</w:t>
      </w:r>
    </w:p>
    <w:bookmarkEnd w:id="22"/>
    <w:bookmarkStart w:id="23" w:name="service-provider"/>
    <w:p>
      <w:pPr>
        <w:pStyle w:val="Heading3"/>
      </w:pPr>
      <w:r>
        <w:t xml:space="preserve">Service Provider</w:t>
      </w:r>
    </w:p>
    <w:p>
      <w:pPr>
        <w:pStyle w:val="FirstParagraph"/>
      </w:pPr>
      <w:r>
        <w:rPr>
          <w:bCs/>
          <w:b/>
        </w:rPr>
        <w:t xml:space="preserve">Frankfurt HR Solutions GmbH</w:t>
      </w:r>
    </w:p>
    <w:p>
      <w:pPr>
        <w:pStyle w:val="BodyText"/>
      </w:pPr>
      <w:r>
        <w:t xml:space="preserve">Lead Consultant: Markus Steinbach</w:t>
      </w:r>
    </w:p>
    <w:p>
      <w:pPr>
        <w:pStyle w:val="BodyText"/>
      </w:pPr>
      <w:r>
        <w:t xml:space="preserve">Human Resources Manager, Senior Level</w:t>
      </w:r>
    </w:p>
    <w:p>
      <w:pPr>
        <w:pStyle w:val="BodyText"/>
      </w:pPr>
      <w:r>
        <w:t xml:space="preserve">Mainzer Landstraße 142</w:t>
      </w:r>
    </w:p>
    <w:p>
      <w:pPr>
        <w:pStyle w:val="BodyText"/>
      </w:pPr>
      <w:r>
        <w:t xml:space="preserve">60329 Frankfurt am Main, Germany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1</w:t>
            </w:r>
          </w:p>
        </w:tc>
        <w:tc>
          <w:tcPr/>
          <w:p>
            <w:pPr>
              <w:pStyle w:val="Compact"/>
              <w:jc w:val="left"/>
            </w:pPr>
            <w:r>
              <w:t xml:space="preserve">Strategic workforce planning and organizational restructuring advisory by the Human Resources Manager for the Frankfurt headquarters division</w:t>
            </w:r>
          </w:p>
        </w:tc>
        <w:tc>
          <w:tcPr/>
          <w:p>
            <w:pPr>
              <w:pStyle w:val="Compact"/>
              <w:jc w:val="left"/>
            </w:pPr>
            <w:r>
              <w:t xml:space="preserve">145.00</w:t>
            </w:r>
          </w:p>
        </w:tc>
        <w:tc>
          <w:tcPr/>
          <w:p>
            <w:pPr>
              <w:pStyle w:val="Compact"/>
              <w:jc w:val="left"/>
            </w:pPr>
            <w:r>
              <w:t xml:space="preserve">24</w:t>
            </w:r>
          </w:p>
        </w:tc>
        <w:tc>
          <w:tcPr/>
          <w:p>
            <w:pPr>
              <w:pStyle w:val="Compact"/>
              <w:jc w:val="left"/>
            </w:pPr>
            <w:r>
              <w:t xml:space="preserve">3,480.00</w:t>
            </w:r>
          </w:p>
        </w:tc>
        <w:tc>
          <w:tcPr/>
          <w:p>
            <w:pPr>
              <w:pStyle w:val="Compact"/>
              <w:jc w:val="left"/>
            </w:pPr>
            <w:r>
              <w:t xml:space="preserve">661.20</w:t>
            </w:r>
          </w:p>
        </w:tc>
      </w:tr>
      <w:tr>
        <w:tc>
          <w:tcPr/>
          <w:p>
            <w:pPr>
              <w:pStyle w:val="Compact"/>
              <w:jc w:val="left"/>
            </w:pPr>
            <w:r>
              <w:t xml:space="preserve">2</w:t>
            </w:r>
          </w:p>
        </w:tc>
        <w:tc>
          <w:tcPr/>
          <w:p>
            <w:pPr>
              <w:pStyle w:val="Compact"/>
              <w:jc w:val="left"/>
            </w:pPr>
            <w:r>
              <w:t xml:space="preserve">Recruitment and onboarding program design for 15 new positions across the Frankfurt office, including employer branding strategy</w:t>
            </w:r>
          </w:p>
        </w:tc>
        <w:tc>
          <w:tcPr/>
          <w:p>
            <w:pPr>
              <w:pStyle w:val="Compact"/>
              <w:jc w:val="left"/>
            </w:pPr>
            <w:r>
              <w:t xml:space="preserve">145.00</w:t>
            </w:r>
          </w:p>
        </w:tc>
        <w:tc>
          <w:tcPr/>
          <w:p>
            <w:pPr>
              <w:pStyle w:val="Compact"/>
              <w:jc w:val="left"/>
            </w:pPr>
            <w:r>
              <w:t xml:space="preserve">32</w:t>
            </w:r>
          </w:p>
        </w:tc>
        <w:tc>
          <w:tcPr/>
          <w:p>
            <w:pPr>
              <w:pStyle w:val="Compact"/>
              <w:jc w:val="left"/>
            </w:pPr>
            <w:r>
              <w:t xml:space="preserve">4,640.00</w:t>
            </w:r>
          </w:p>
        </w:tc>
        <w:tc>
          <w:tcPr/>
          <w:p>
            <w:pPr>
              <w:pStyle w:val="Compact"/>
              <w:jc w:val="left"/>
            </w:pPr>
            <w:r>
              <w:t xml:space="preserve">881.60</w:t>
            </w:r>
          </w:p>
        </w:tc>
      </w:tr>
      <w:tr>
        <w:tc>
          <w:tcPr/>
          <w:p>
            <w:pPr>
              <w:pStyle w:val="Compact"/>
              <w:jc w:val="left"/>
            </w:pPr>
            <w:r>
              <w:t xml:space="preserve">3</w:t>
            </w:r>
          </w:p>
        </w:tc>
        <w:tc>
          <w:tcPr/>
          <w:p>
            <w:pPr>
              <w:pStyle w:val="Compact"/>
              <w:jc w:val="left"/>
            </w:pPr>
            <w:r>
              <w:t xml:space="preserve">Employee performance management system implementation and quarterly review cycle establishment</w:t>
            </w:r>
          </w:p>
        </w:tc>
        <w:tc>
          <w:tcPr/>
          <w:p>
            <w:pPr>
              <w:pStyle w:val="Compact"/>
              <w:jc w:val="left"/>
            </w:pPr>
            <w:r>
              <w:t xml:space="preserve">145.00</w:t>
            </w:r>
          </w:p>
        </w:tc>
        <w:tc>
          <w:tcPr/>
          <w:p>
            <w:pPr>
              <w:pStyle w:val="Compact"/>
              <w:jc w:val="left"/>
            </w:pPr>
            <w:r>
              <w:t xml:space="preserve">20</w:t>
            </w:r>
          </w:p>
        </w:tc>
        <w:tc>
          <w:tcPr/>
          <w:p>
            <w:pPr>
              <w:pStyle w:val="Compact"/>
              <w:jc w:val="left"/>
            </w:pPr>
            <w:r>
              <w:t xml:space="preserve">2,900.00</w:t>
            </w:r>
          </w:p>
        </w:tc>
        <w:tc>
          <w:tcPr/>
          <w:p>
            <w:pPr>
              <w:pStyle w:val="Compact"/>
              <w:jc w:val="left"/>
            </w:pPr>
            <w:r>
              <w:t xml:space="preserve">551.00</w:t>
            </w:r>
          </w:p>
        </w:tc>
      </w:tr>
      <w:tr>
        <w:tc>
          <w:tcPr/>
          <w:p>
            <w:pPr>
              <w:pStyle w:val="Compact"/>
              <w:jc w:val="left"/>
            </w:pPr>
            <w:r>
              <w:t xml:space="preserve">4</w:t>
            </w:r>
          </w:p>
        </w:tc>
        <w:tc>
          <w:tcPr/>
          <w:p>
            <w:pPr>
              <w:pStyle w:val="Compact"/>
              <w:jc w:val="left"/>
            </w:pPr>
            <w:r>
              <w:t xml:space="preserve">Compliance audit and labor law consultation in accordance with German Arbeitsrecht and EU regulations for the Frankfurt entity</w:t>
            </w:r>
          </w:p>
        </w:tc>
        <w:tc>
          <w:tcPr/>
          <w:p>
            <w:pPr>
              <w:pStyle w:val="Compact"/>
              <w:jc w:val="left"/>
            </w:pPr>
            <w:r>
              <w:t xml:space="preserve">165.00</w:t>
            </w:r>
          </w:p>
        </w:tc>
        <w:tc>
          <w:tcPr/>
          <w:p>
            <w:pPr>
              <w:pStyle w:val="Compact"/>
              <w:jc w:val="left"/>
            </w:pPr>
            <w:r>
              <w:t xml:space="preserve">16</w:t>
            </w:r>
          </w:p>
        </w:tc>
        <w:tc>
          <w:tcPr/>
          <w:p>
            <w:pPr>
              <w:pStyle w:val="Compact"/>
              <w:jc w:val="left"/>
            </w:pPr>
            <w:r>
              <w:t xml:space="preserve">2,640.00</w:t>
            </w:r>
          </w:p>
        </w:tc>
        <w:tc>
          <w:tcPr/>
          <w:p>
            <w:pPr>
              <w:pStyle w:val="Compact"/>
              <w:jc w:val="left"/>
            </w:pPr>
            <w:r>
              <w:t xml:space="preserve">501.60</w:t>
            </w:r>
          </w:p>
        </w:tc>
      </w:tr>
      <w:tr>
        <w:tc>
          <w:tcPr/>
          <w:p>
            <w:pPr>
              <w:pStyle w:val="Compact"/>
              <w:jc w:val="left"/>
            </w:pPr>
            <w:r>
              <w:t xml:space="preserve">5</w:t>
            </w:r>
          </w:p>
        </w:tc>
        <w:tc>
          <w:tcPr/>
          <w:p>
            <w:pPr>
              <w:pStyle w:val="Compact"/>
              <w:jc w:val="left"/>
            </w:pPr>
            <w:r>
              <w:t xml:space="preserve">Employee relations mediation and internal communication strategy development for the Frankfurt workforce</w:t>
            </w:r>
          </w:p>
        </w:tc>
        <w:tc>
          <w:tcPr/>
          <w:p>
            <w:pPr>
              <w:pStyle w:val="Compact"/>
              <w:jc w:val="left"/>
            </w:pPr>
            <w:r>
              <w:t xml:space="preserve">145.00</w:t>
            </w:r>
          </w:p>
        </w:tc>
        <w:tc>
          <w:tcPr/>
          <w:p>
            <w:pPr>
              <w:pStyle w:val="Compact"/>
              <w:jc w:val="left"/>
            </w:pPr>
            <w:r>
              <w:t xml:space="preserve">12</w:t>
            </w:r>
          </w:p>
        </w:tc>
        <w:tc>
          <w:tcPr/>
          <w:p>
            <w:pPr>
              <w:pStyle w:val="Compact"/>
              <w:jc w:val="left"/>
            </w:pPr>
            <w:r>
              <w:t xml:space="preserve">1,740.00</w:t>
            </w:r>
          </w:p>
        </w:tc>
        <w:tc>
          <w:tcPr/>
          <w:p>
            <w:pPr>
              <w:pStyle w:val="Compact"/>
              <w:jc w:val="left"/>
            </w:pPr>
            <w:r>
              <w:t xml:space="preserve">330.60</w:t>
            </w:r>
          </w:p>
        </w:tc>
      </w:tr>
      <w:tr>
        <w:tc>
          <w:tcPr/>
          <w:p>
            <w:pPr>
              <w:pStyle w:val="Compact"/>
              <w:jc w:val="left"/>
            </w:pPr>
            <w:r>
              <w:t xml:space="preserve">6</w:t>
            </w:r>
          </w:p>
        </w:tc>
        <w:tc>
          <w:tcPr/>
          <w:p>
            <w:pPr>
              <w:pStyle w:val="Compact"/>
              <w:jc w:val="left"/>
            </w:pPr>
            <w:r>
              <w:t xml:space="preserve">Compensation and benefits benchmarking study against Frankfurt market rates for senior and mid-level positions</w:t>
            </w:r>
          </w:p>
        </w:tc>
        <w:tc>
          <w:tcPr/>
          <w:p>
            <w:pPr>
              <w:pStyle w:val="Compact"/>
              <w:jc w:val="left"/>
            </w:pPr>
            <w:r>
              <w:t xml:space="preserve">165.00</w:t>
            </w:r>
          </w:p>
        </w:tc>
        <w:tc>
          <w:tcPr/>
          <w:p>
            <w:pPr>
              <w:pStyle w:val="Compact"/>
              <w:jc w:val="left"/>
            </w:pPr>
            <w:r>
              <w:t xml:space="preserve">10</w:t>
            </w:r>
          </w:p>
        </w:tc>
        <w:tc>
          <w:tcPr/>
          <w:p>
            <w:pPr>
              <w:pStyle w:val="Compact"/>
              <w:jc w:val="left"/>
            </w:pPr>
            <w:r>
              <w:t xml:space="preserve">1,650.00</w:t>
            </w:r>
          </w:p>
        </w:tc>
        <w:tc>
          <w:tcPr/>
          <w:p>
            <w:pPr>
              <w:pStyle w:val="Compact"/>
              <w:jc w:val="left"/>
            </w:pPr>
            <w:r>
              <w:t xml:space="preserve">313.50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17,050.00 EUR</w:t>
            </w:r>
          </w:p>
        </w:tc>
      </w:tr>
      <w:tr>
        <w:tc>
          <w:tcPr/>
          <w:p>
            <w:pPr>
              <w:pStyle w:val="Compact"/>
              <w:jc w:val="left"/>
            </w:pPr>
            <w:r>
              <w:t xml:space="preserve">VAT (19%)</w:t>
            </w:r>
          </w:p>
        </w:tc>
        <w:tc>
          <w:tcPr/>
          <w:p>
            <w:pPr>
              <w:pStyle w:val="Compact"/>
              <w:jc w:val="left"/>
            </w:pPr>
            <w:r>
              <w:t xml:space="preserve">3,239.50 EUR</w:t>
            </w:r>
          </w:p>
        </w:tc>
      </w:tr>
      <w:tr>
        <w:tc>
          <w:tcPr/>
          <w:p>
            <w:pPr>
              <w:pStyle w:val="Compact"/>
              <w:jc w:val="left"/>
            </w:pPr>
            <w:r>
              <w:t xml:space="preserve">Total Amount Due</w:t>
            </w:r>
          </w:p>
        </w:tc>
        <w:tc>
          <w:tcPr/>
          <w:p>
            <w:pPr>
              <w:pStyle w:val="Compact"/>
              <w:jc w:val="left"/>
            </w:pPr>
            <w:r>
              <w:t xml:space="preserve">20,289.50 EUR</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Deutsche Bank AG, Frankfurt am Main</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DEUTDEFF</w:t>
      </w:r>
    </w:p>
    <w:p>
      <w:pPr>
        <w:pStyle w:val="BodyText"/>
      </w:pPr>
      <w:r>
        <w:rPr>
          <w:bCs/>
          <w:b/>
        </w:rPr>
        <w:t xml:space="preserve">Reference:</w:t>
      </w:r>
      <w:r>
        <w:t xml:space="preserve"> </w:t>
      </w:r>
      <w:r>
        <w:t xml:space="preserve">FHR-2025-0487 / Meridian Corporate Group AG</w:t>
      </w:r>
    </w:p>
    <w:p>
      <w:pPr>
        <w:pStyle w:val="BodyText"/>
      </w:pPr>
      <w:r>
        <w:rPr>
          <w:bCs/>
          <w:b/>
        </w:rPr>
        <w:t xml:space="preserve">Payment Method:</w:t>
      </w:r>
      <w:r>
        <w:t xml:space="preserve"> </w:t>
      </w:r>
      <w:r>
        <w:t xml:space="preserve">SEPA Direct Debit or Bank Transfer (Überweisung)</w:t>
      </w:r>
    </w:p>
    <w:p>
      <w:pPr>
        <w:pStyle w:val="BodyText"/>
      </w:pPr>
      <w:r>
        <w:rPr>
          <w:bCs/>
          <w:b/>
        </w:rPr>
        <w:t xml:space="preserve">Payment Terms:</w:t>
      </w:r>
      <w:r>
        <w:t xml:space="preserve"> </w:t>
      </w:r>
      <w:r>
        <w:t xml:space="preserve">Net 14 days from the date of this Invoice. Please ensure the full amount of 20,289.50 EUR is received by 30 June 2025 to avoid late payment interest as stipulated under § 288 of the German Civil Code (BGB).</w:t>
      </w:r>
    </w:p>
    <w:bookmarkEnd w:id="24"/>
    <w:bookmarkStart w:id="25" w:name="notes-and-terms"/>
    <w:p>
      <w:pPr>
        <w:pStyle w:val="Heading3"/>
      </w:pPr>
      <w:r>
        <w:t xml:space="preserve">Notes and Terms</w:t>
      </w:r>
    </w:p>
    <w:p>
      <w:pPr>
        <w:pStyle w:val="FirstParagraph"/>
      </w:pPr>
      <w:r>
        <w:t xml:space="preserve">This Invoice is issued by Frankfurt HR Solutions GmbH in its capacity as the contracted Human Resources Manager service provider for Meridian Corporate Group AG, Frankfurt am Main. All services rendered during the billing period were performed in accordance with the Master Service Agreement dated 01 January 2025 (Contract Ref: MSA-FR-2025-003).</w:t>
      </w:r>
    </w:p>
    <w:p>
      <w:pPr>
        <w:pStyle w:val="BodyText"/>
      </w:pPr>
      <w:r>
        <w:t xml:space="preserve">The Human Resources Manager, Markus Steinbach, has completed all deliverables outlined in the Statement of Work for the month of May 2025. All work was conducted at the client's premises located in Frankfurt am Main, Germany, and at our own offices in the Frankfurt financial district.</w:t>
      </w:r>
    </w:p>
    <w:p>
      <w:pPr>
        <w:numPr>
          <w:ilvl w:val="0"/>
          <w:numId w:val="1001"/>
        </w:numPr>
        <w:pStyle w:val="Compact"/>
      </w:pPr>
      <w:r>
        <w:t xml:space="preserve">All rates are exclusive of VAT. The applicable VAT rate of 19% is applied in accordance with the German Umsatzsteuergesetz (UStG).</w:t>
      </w:r>
    </w:p>
    <w:p>
      <w:pPr>
        <w:numPr>
          <w:ilvl w:val="0"/>
          <w:numId w:val="1001"/>
        </w:numPr>
        <w:pStyle w:val="Compact"/>
      </w:pPr>
      <w:r>
        <w:t xml:space="preserve">This Invoice is valid for 30 days from the date of issue. After this period, a revised Invoice may be required.</w:t>
      </w:r>
    </w:p>
    <w:p>
      <w:pPr>
        <w:numPr>
          <w:ilvl w:val="0"/>
          <w:numId w:val="1001"/>
        </w:numPr>
        <w:pStyle w:val="Compact"/>
      </w:pPr>
      <w:r>
        <w:t xml:space="preserve">Any disputes regarding this Invoice must be raised in writing within 14 days of receipt. The competent court for any legal proceedings is the Local Court (Amtsgericht) Frankfurt am Main, Germany.</w:t>
      </w:r>
    </w:p>
    <w:p>
      <w:pPr>
        <w:numPr>
          <w:ilvl w:val="0"/>
          <w:numId w:val="1001"/>
        </w:numPr>
        <w:pStyle w:val="Compact"/>
      </w:pPr>
      <w:r>
        <w:t xml:space="preserve">Payment delays are subject to statutory interest of 8 percentage points above the base rate for business-to-business transactions under § 288 Abs. 2 BGB.</w:t>
      </w:r>
    </w:p>
    <w:p>
      <w:pPr>
        <w:numPr>
          <w:ilvl w:val="0"/>
          <w:numId w:val="1001"/>
        </w:numPr>
        <w:pStyle w:val="Compact"/>
      </w:pPr>
      <w:r>
        <w:t xml:space="preserve">This Invoice constitutes a valid tax document (Rechnung) as defined in § 14 of the German VAT Act. It may be used for input tax deduction purposes by the recipient.</w:t>
      </w:r>
    </w:p>
    <w:p>
      <w:pPr>
        <w:pStyle w:val="FirstParagraph"/>
      </w:pPr>
      <w:r>
        <w:t xml:space="preserve">Should you have any questions regarding this Invoice or the services provided by our Human Resources Manager team, please contact our billing department at billing@frankfurthrsolutions.de or by phone at +49 69 4455 7820, Monday through Friday, 08:00–17:00 CET.</w:t>
      </w:r>
    </w:p>
    <w:bookmarkEnd w:id="25"/>
    <w:p>
      <w:pPr>
        <w:pStyle w:val="BodyText"/>
      </w:pPr>
      <w:r>
        <w:rPr>
          <w:bCs/>
          <w:b/>
        </w:rPr>
        <w:t xml:space="preserve">Frankfurt HR Solutions GmbH</w:t>
      </w:r>
      <w:r>
        <w:t xml:space="preserve"> </w:t>
      </w:r>
      <w:r>
        <w:t xml:space="preserve">| Registered at the Commercial Register (Handelsregister) of the Local Court Frankfurt am Main, HRB 98765 | Managing Director: Markus Steinbach, Dr. Anja Hoffmann</w:t>
      </w:r>
    </w:p>
    <w:p>
      <w:pPr>
        <w:pStyle w:val="BodyText"/>
      </w:pPr>
      <w:r>
        <w:t xml:space="preserve">USt-IdNr.: DE 318 456 721 | VAT Registration: Frankfurt am Main, Germany</w:t>
      </w:r>
    </w:p>
    <w:p>
      <w:pPr>
        <w:pStyle w:val="BodyText"/>
      </w:pPr>
      <w:r>
        <w:t xml:space="preserve">This document was generated electronically and is valid without a physical signature in accordance with § 14 Abs. 4 UStG. For questions regarding data protection, please refer to our Privacy Policy at www.frankfurthrsolutions.de/datenschutz.</w:t>
      </w:r>
    </w:p>
    <w:p>
      <w:pPr>
        <w:pStyle w:val="BodyText"/>
      </w:pPr>
      <w:r>
        <w:t xml:space="preserve">Thank you for your business. We appreciate the opportunity to serve as your Human Resources Manager partner in Frankfurt, Germany.</w:t>
      </w:r>
    </w:p>
    <w:p>
      <w:pPr>
        <w:pStyle w:val="BodyText"/>
      </w:pPr>
      <w:r>
        <w:t xml:space="preserve">Frankfurt HR Solutions GmbH — Excellence in Human Capital Management — Frankfurt am Main,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Frankfurt, Germany</dc:title>
  <dc:creator/>
  <dc:language>en</dc:language>
  <cp:keywords/>
  <dcterms:created xsi:type="dcterms:W3CDTF">2026-10-10T06:26:07Z</dcterms:created>
  <dcterms:modified xsi:type="dcterms:W3CDTF">2026-10-10T06:26:07Z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