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hr-consulting-group"/>
    <w:p>
      <w:pPr>
        <w:pStyle w:val="Heading1"/>
      </w:pPr>
      <w:r>
        <w:t xml:space="preserve">Al-Rafidain HR Consulting Group</w:t>
      </w:r>
    </w:p>
    <w:p>
      <w:pPr>
        <w:pStyle w:val="FirstParagraph"/>
      </w:pPr>
      <w:r>
        <w:t xml:space="preserve">Office 42, Al-Mansour Business Tower</w:t>
      </w:r>
    </w:p>
    <w:p>
      <w:pPr>
        <w:pStyle w:val="BodyText"/>
      </w:pPr>
      <w:r>
        <w:t xml:space="preserve">Al-Mansour District, Baghdad, Iraq</w:t>
      </w:r>
    </w:p>
    <w:p>
      <w:pPr>
        <w:pStyle w:val="BodyText"/>
      </w:pPr>
      <w:r>
        <w:t xml:space="preserve">Tel: +964 770 123 4567</w:t>
      </w:r>
    </w:p>
    <w:p>
      <w:pPr>
        <w:pStyle w:val="BodyText"/>
      </w:pPr>
      <w:r>
        <w:t xml:space="preserve">Email: billing@alrafidainhr.iq</w:t>
      </w:r>
    </w:p>
    <w:p>
      <w:pPr>
        <w:pStyle w:val="BodyText"/>
      </w:pPr>
      <w:r>
        <w:t xml:space="preserve">Tax Registration No: IQ-TRN-2024-08841</w:t>
      </w:r>
    </w:p>
    <w:p>
      <w:pPr>
        <w:pStyle w:val="BodyText"/>
      </w:pPr>
      <w:r>
        <w:t xml:space="preserve">Iraq Baghdad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INV-BGH-2025-00347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Iraq Baghdad</w:t>
      </w:r>
    </w:p>
    <w:bookmarkEnd w:id="21"/>
    <w:bookmarkStart w:id="22" w:name="bill-to"/>
    <w:p>
      <w:pPr>
        <w:pStyle w:val="Heading3"/>
      </w:pPr>
      <w:r>
        <w:t xml:space="preserve">Bill To</w:t>
      </w:r>
    </w:p>
    <w:p>
      <w:pPr>
        <w:pStyle w:val="FirstParagraph"/>
      </w:pPr>
      <w:r>
        <w:rPr>
          <w:bCs/>
          <w:b/>
        </w:rPr>
        <w:t xml:space="preserve">Client:</w:t>
      </w:r>
      <w:r>
        <w:t xml:space="preserve"> </w:t>
      </w:r>
      <w:r>
        <w:t xml:space="preserve">Mesopotamia Industrial Holdings Co.</w:t>
      </w:r>
    </w:p>
    <w:p>
      <w:pPr>
        <w:pStyle w:val="BodyText"/>
      </w:pPr>
      <w:r>
        <w:rPr>
          <w:bCs/>
          <w:b/>
        </w:rPr>
        <w:t xml:space="preserve">Attn:</w:t>
      </w:r>
      <w:r>
        <w:t xml:space="preserve"> </w:t>
      </w:r>
      <w:r>
        <w:t xml:space="preserve">Mr. Khalid Al-Jabiri, Chief Executive Officer</w:t>
      </w:r>
    </w:p>
    <w:p>
      <w:pPr>
        <w:pStyle w:val="BodyText"/>
      </w:pPr>
      <w:r>
        <w:rPr>
          <w:bCs/>
          <w:b/>
        </w:rPr>
        <w:t xml:space="preserve">Address:</w:t>
      </w:r>
      <w:r>
        <w:t xml:space="preserve"> </w:t>
      </w:r>
      <w:r>
        <w:t xml:space="preserve">Al-Karrada Commercial Zone, Building 17</w:t>
      </w:r>
    </w:p>
    <w:p>
      <w:pPr>
        <w:pStyle w:val="BodyText"/>
      </w:pPr>
      <w:r>
        <w:rPr>
          <w:bCs/>
          <w:b/>
        </w:rPr>
        <w:t xml:space="preserve">City:</w:t>
      </w:r>
      <w:r>
        <w:t xml:space="preserve"> </w:t>
      </w:r>
      <w:r>
        <w:t xml:space="preserve">Baghdad, Iraq</w:t>
      </w:r>
    </w:p>
    <w:p>
      <w:pPr>
        <w:pStyle w:val="BodyText"/>
      </w:pPr>
      <w:r>
        <w:rPr>
          <w:bCs/>
          <w:b/>
        </w:rPr>
        <w:t xml:space="preserve">Tel:</w:t>
      </w:r>
      <w:r>
        <w:t xml:space="preserve"> </w:t>
      </w:r>
      <w:r>
        <w:t xml:space="preserve">+964 781 987 6543</w:t>
      </w:r>
    </w:p>
    <w:p>
      <w:pPr>
        <w:pStyle w:val="BodyText"/>
      </w:pPr>
      <w:r>
        <w:rPr>
          <w:bCs/>
          <w:b/>
        </w:rPr>
        <w:t xml:space="preserve">Email:</w:t>
      </w:r>
      <w:r>
        <w:t xml:space="preserve"> </w:t>
      </w:r>
      <w:r>
        <w:t xml:space="preserve">procurement@mesopotamia-ind.iq</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Dr. Layla Al-Hassan</w:t>
      </w:r>
    </w:p>
    <w:p>
      <w:pPr>
        <w:pStyle w:val="BodyText"/>
      </w:pPr>
      <w:r>
        <w:rPr>
          <w:bCs/>
          <w:b/>
        </w:rPr>
        <w:t xml:space="preserve">Title:</w:t>
      </w:r>
      <w:r>
        <w:t xml:space="preserve"> </w:t>
      </w:r>
      <w:r>
        <w:t xml:space="preserve">Human Resources Manager</w:t>
      </w:r>
    </w:p>
    <w:p>
      <w:pPr>
        <w:pStyle w:val="BodyText"/>
      </w:pPr>
      <w:r>
        <w:rPr>
          <w:bCs/>
          <w:b/>
        </w:rPr>
        <w:t xml:space="preserve">Specialization:</w:t>
      </w:r>
      <w:r>
        <w:t xml:space="preserve"> </w:t>
      </w:r>
      <w:r>
        <w:t xml:space="preserve">Organizational Development &amp; Talent Acquisition</w:t>
      </w:r>
    </w:p>
    <w:p>
      <w:pPr>
        <w:pStyle w:val="BodyText"/>
      </w:pPr>
      <w:r>
        <w:rPr>
          <w:bCs/>
          <w:b/>
        </w:rPr>
        <w:t xml:space="preserve">License No:</w:t>
      </w:r>
      <w:r>
        <w:t xml:space="preserve"> </w:t>
      </w:r>
      <w:r>
        <w:t xml:space="preserve">HRM-IQ-2023-0056</w:t>
      </w:r>
    </w:p>
    <w:p>
      <w:pPr>
        <w:pStyle w:val="BodyText"/>
      </w:pPr>
      <w:r>
        <w:rPr>
          <w:bCs/>
          <w:b/>
        </w:rPr>
        <w:t xml:space="preserve">Base Location:</w:t>
      </w:r>
      <w:r>
        <w:t xml:space="preserve"> </w:t>
      </w:r>
      <w:r>
        <w:t xml:space="preserve">Iraq Baghdad</w:t>
      </w:r>
    </w:p>
    <w:p>
      <w:pPr>
        <w:pStyle w:val="BodyText"/>
      </w:pPr>
      <w:r>
        <w:rPr>
          <w:bCs/>
          <w:b/>
        </w:rPr>
        <w:t xml:space="preserve">Contract Ref:</w:t>
      </w:r>
      <w:r>
        <w:t xml:space="preserve"> </w:t>
      </w:r>
      <w:r>
        <w:t xml:space="preserve">CTR-HRM-2025-0112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(IQD)</w:t>
            </w:r>
          </w:p>
        </w:tc>
        <w:tc>
          <w:tcPr/>
          <w:p>
            <w:pPr>
              <w:pStyle w:val="Compact"/>
              <w:jc w:val="left"/>
            </w:pPr>
            <w:r>
              <w:t xml:space="preserve">Hours</w:t>
            </w:r>
          </w:p>
        </w:tc>
        <w:tc>
          <w:tcPr/>
          <w:p>
            <w:pPr>
              <w:pStyle w:val="Compact"/>
              <w:jc w:val="left"/>
            </w:pPr>
            <w:r>
              <w:t xml:space="preserve">Amount (IQD)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Monthly Human Resources Manager retainer – strategic workforce planning, policy development, and compliance advisory for the Iraq Baghdad office operations</w:t>
            </w:r>
          </w:p>
        </w:tc>
        <w:tc>
          <w:tcPr/>
          <w:p>
            <w:pPr>
              <w:pStyle w:val="Compact"/>
              <w:jc w:val="left"/>
            </w:pPr>
            <w:r>
              <w:t xml:space="preserve">250,000</w:t>
            </w:r>
          </w:p>
        </w:tc>
        <w:tc>
          <w:tcPr/>
          <w:p>
            <w:pPr>
              <w:pStyle w:val="Compact"/>
              <w:jc w:val="left"/>
            </w:pPr>
            <w:r>
              <w:t xml:space="preserve">160</w:t>
            </w:r>
          </w:p>
        </w:tc>
        <w:tc>
          <w:tcPr/>
          <w:p>
            <w:pPr>
              <w:pStyle w:val="Compact"/>
              <w:jc w:val="left"/>
            </w:pPr>
            <w:r>
              <w:t xml:space="preserve">40,000,000</w:t>
            </w:r>
          </w:p>
        </w:tc>
        <w:tc>
          <w:tcPr/>
          <w:p>
            <w:pPr>
              <w:pStyle w:val="Compact"/>
              <w:jc w:val="left"/>
            </w:pPr>
            <w:r>
              <w:t xml:space="preserve">CTR-HRM-2025-0112</w:t>
            </w:r>
          </w:p>
        </w:tc>
      </w:tr>
      <w:tr>
        <w:tc>
          <w:tcPr/>
          <w:p>
            <w:pPr>
              <w:pStyle w:val="Compact"/>
              <w:jc w:val="left"/>
            </w:pPr>
            <w:r>
              <w:t xml:space="preserve">2</w:t>
            </w:r>
          </w:p>
        </w:tc>
        <w:tc>
          <w:tcPr/>
          <w:p>
            <w:pPr>
              <w:pStyle w:val="Compact"/>
              <w:jc w:val="left"/>
            </w:pPr>
            <w:r>
              <w:t xml:space="preserve">Recruitment and onboarding support – sourcing, interviewing, and onboarding of 12 new employees for the Baghdad manufacturing division</w:t>
            </w:r>
          </w:p>
        </w:tc>
        <w:tc>
          <w:tcPr/>
          <w:p>
            <w:pPr>
              <w:pStyle w:val="Compact"/>
              <w:jc w:val="left"/>
            </w:pPr>
            <w:r>
              <w:t xml:space="preserve">175,000</w:t>
            </w:r>
          </w:p>
        </w:tc>
        <w:tc>
          <w:tcPr/>
          <w:p>
            <w:pPr>
              <w:pStyle w:val="Compact"/>
              <w:jc w:val="left"/>
            </w:pPr>
            <w:r>
              <w:t xml:space="preserve">48</w:t>
            </w:r>
          </w:p>
        </w:tc>
        <w:tc>
          <w:tcPr/>
          <w:p>
            <w:pPr>
              <w:pStyle w:val="Compact"/>
              <w:jc w:val="left"/>
            </w:pPr>
            <w:r>
              <w:t xml:space="preserve">8,400,000</w:t>
            </w:r>
          </w:p>
        </w:tc>
        <w:tc>
          <w:tcPr/>
          <w:p>
            <w:pPr>
              <w:pStyle w:val="Compact"/>
              <w:jc w:val="left"/>
            </w:pPr>
            <w:r>
              <w:t xml:space="preserve">REC-2025-0089</w:t>
            </w:r>
          </w:p>
        </w:tc>
      </w:tr>
      <w:tr>
        <w:tc>
          <w:tcPr/>
          <w:p>
            <w:pPr>
              <w:pStyle w:val="Compact"/>
              <w:jc w:val="left"/>
            </w:pPr>
            <w:r>
              <w:t xml:space="preserve">3</w:t>
            </w:r>
          </w:p>
        </w:tc>
        <w:tc>
          <w:tcPr/>
          <w:p>
            <w:pPr>
              <w:pStyle w:val="Compact"/>
              <w:jc w:val="left"/>
            </w:pPr>
            <w:r>
              <w:t xml:space="preserve">Performance management system design and implementation – KPI framework, appraisal cycles, and feedback mechanisms tailored to Iraqi labor law requirements</w:t>
            </w:r>
          </w:p>
        </w:tc>
        <w:tc>
          <w:tcPr/>
          <w:p>
            <w:pPr>
              <w:pStyle w:val="Compact"/>
              <w:jc w:val="left"/>
            </w:pPr>
            <w:r>
              <w:t xml:space="preserve">200,000</w:t>
            </w:r>
          </w:p>
        </w:tc>
        <w:tc>
          <w:tcPr/>
          <w:p>
            <w:pPr>
              <w:pStyle w:val="Compact"/>
              <w:jc w:val="left"/>
            </w:pPr>
            <w:r>
              <w:t xml:space="preserve">36</w:t>
            </w:r>
          </w:p>
        </w:tc>
        <w:tc>
          <w:tcPr/>
          <w:p>
            <w:pPr>
              <w:pStyle w:val="Compact"/>
              <w:jc w:val="left"/>
            </w:pPr>
            <w:r>
              <w:t xml:space="preserve">7,200,000</w:t>
            </w:r>
          </w:p>
        </w:tc>
        <w:tc>
          <w:tcPr/>
          <w:p>
            <w:pPr>
              <w:pStyle w:val="Compact"/>
              <w:jc w:val="left"/>
            </w:pPr>
            <w:r>
              <w:t xml:space="preserve">PM-2025-0045</w:t>
            </w:r>
          </w:p>
        </w:tc>
      </w:tr>
      <w:tr>
        <w:tc>
          <w:tcPr/>
          <w:p>
            <w:pPr>
              <w:pStyle w:val="Compact"/>
              <w:jc w:val="left"/>
            </w:pPr>
            <w:r>
              <w:t xml:space="preserve">4</w:t>
            </w:r>
          </w:p>
        </w:tc>
        <w:tc>
          <w:tcPr/>
          <w:p>
            <w:pPr>
              <w:pStyle w:val="Compact"/>
              <w:jc w:val="left"/>
            </w:pPr>
            <w:r>
              <w:t xml:space="preserve">Employee relations and grievance handling – mediation sessions, disciplinary procedures, and labor dispute resolution in Iraq Baghdad</w:t>
            </w:r>
          </w:p>
        </w:tc>
        <w:tc>
          <w:tcPr/>
          <w:p>
            <w:pPr>
              <w:pStyle w:val="Compact"/>
              <w:jc w:val="left"/>
            </w:pPr>
            <w:r>
              <w:t xml:space="preserve">150,000</w:t>
            </w:r>
          </w:p>
        </w:tc>
        <w:tc>
          <w:tcPr/>
          <w:p>
            <w:pPr>
              <w:pStyle w:val="Compact"/>
              <w:jc w:val="left"/>
            </w:pPr>
            <w:r>
              <w:t xml:space="preserve">24</w:t>
            </w:r>
          </w:p>
        </w:tc>
        <w:tc>
          <w:tcPr/>
          <w:p>
            <w:pPr>
              <w:pStyle w:val="Compact"/>
              <w:jc w:val="left"/>
            </w:pPr>
            <w:r>
              <w:t xml:space="preserve">3,600,000</w:t>
            </w:r>
          </w:p>
        </w:tc>
        <w:tc>
          <w:tcPr/>
          <w:p>
            <w:pPr>
              <w:pStyle w:val="Compact"/>
              <w:jc w:val="left"/>
            </w:pPr>
            <w:r>
              <w:t xml:space="preserve">ER-2025-0031</w:t>
            </w:r>
          </w:p>
        </w:tc>
      </w:tr>
      <w:tr>
        <w:tc>
          <w:tcPr/>
          <w:p>
            <w:pPr>
              <w:pStyle w:val="Compact"/>
              <w:jc w:val="left"/>
            </w:pPr>
            <w:r>
              <w:t xml:space="preserve">5</w:t>
            </w:r>
          </w:p>
        </w:tc>
        <w:tc>
          <w:tcPr/>
          <w:p>
            <w:pPr>
              <w:pStyle w:val="Compact"/>
              <w:jc w:val="left"/>
            </w:pPr>
            <w:r>
              <w:t xml:space="preserve">Training and development program – leadership workshops, compliance training on Iraqi labor regulations, and professional development plans for mid-level managers</w:t>
            </w:r>
          </w:p>
        </w:tc>
        <w:tc>
          <w:tcPr/>
          <w:p>
            <w:pPr>
              <w:pStyle w:val="Compact"/>
              <w:jc w:val="left"/>
            </w:pPr>
            <w:r>
              <w:t xml:space="preserve">125,000</w:t>
            </w:r>
          </w:p>
        </w:tc>
        <w:tc>
          <w:tcPr/>
          <w:p>
            <w:pPr>
              <w:pStyle w:val="Compact"/>
              <w:jc w:val="left"/>
            </w:pPr>
            <w:r>
              <w:t xml:space="preserve">40</w:t>
            </w:r>
          </w:p>
        </w:tc>
        <w:tc>
          <w:tcPr/>
          <w:p>
            <w:pPr>
              <w:pStyle w:val="Compact"/>
              <w:jc w:val="left"/>
            </w:pPr>
            <w:r>
              <w:t xml:space="preserve">5,000,000</w:t>
            </w:r>
          </w:p>
        </w:tc>
        <w:tc>
          <w:tcPr/>
          <w:p>
            <w:pPr>
              <w:pStyle w:val="Compact"/>
              <w:jc w:val="left"/>
            </w:pPr>
            <w:r>
              <w:t xml:space="preserve">TD-2025-0067</w:t>
            </w:r>
          </w:p>
        </w:tc>
      </w:tr>
      <w:tr>
        <w:tc>
          <w:tcPr/>
          <w:p>
            <w:pPr>
              <w:pStyle w:val="Compact"/>
              <w:jc w:val="left"/>
            </w:pPr>
            <w:r>
              <w:t xml:space="preserve">6</w:t>
            </w:r>
          </w:p>
        </w:tc>
        <w:tc>
          <w:tcPr/>
          <w:p>
            <w:pPr>
              <w:pStyle w:val="Compact"/>
              <w:jc w:val="left"/>
            </w:pPr>
            <w:r>
              <w:t xml:space="preserve">Compensation and benefits audit – salary benchmarking against Iraq Baghdad market rates, social security compliance (SSN), and benefits restructuring</w:t>
            </w:r>
          </w:p>
        </w:tc>
        <w:tc>
          <w:tcPr/>
          <w:p>
            <w:pPr>
              <w:pStyle w:val="Compact"/>
              <w:jc w:val="left"/>
            </w:pPr>
            <w:r>
              <w:t xml:space="preserve">180,000</w:t>
            </w:r>
          </w:p>
        </w:tc>
        <w:tc>
          <w:tcPr/>
          <w:p>
            <w:pPr>
              <w:pStyle w:val="Compact"/>
              <w:jc w:val="left"/>
            </w:pPr>
            <w:r>
              <w:t xml:space="preserve">32</w:t>
            </w:r>
          </w:p>
        </w:tc>
        <w:tc>
          <w:tcPr/>
          <w:p>
            <w:pPr>
              <w:pStyle w:val="Compact"/>
              <w:jc w:val="left"/>
            </w:pPr>
            <w:r>
              <w:t xml:space="preserve">5,760,000</w:t>
            </w:r>
          </w:p>
        </w:tc>
        <w:tc>
          <w:tcPr/>
          <w:p>
            <w:pPr>
              <w:pStyle w:val="Compact"/>
              <w:jc w:val="left"/>
            </w:pPr>
            <w:r>
              <w:t xml:space="preserve">CB-2025-0052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70,000,000 IQD</w:t>
            </w:r>
          </w:p>
        </w:tc>
      </w:tr>
      <w:tr>
        <w:tc>
          <w:tcPr/>
          <w:p>
            <w:pPr>
              <w:pStyle w:val="Compact"/>
              <w:jc w:val="left"/>
            </w:pPr>
            <w:r>
              <w:t xml:space="preserve">VAT (5%)</w:t>
            </w:r>
          </w:p>
        </w:tc>
        <w:tc>
          <w:tcPr/>
          <w:p>
            <w:pPr>
              <w:pStyle w:val="Compact"/>
              <w:jc w:val="right"/>
            </w:pPr>
            <w:r>
              <w:t xml:space="preserve">3,500,000 IQD</w:t>
            </w:r>
          </w:p>
        </w:tc>
      </w:tr>
      <w:tr>
        <w:tc>
          <w:tcPr/>
          <w:p>
            <w:pPr>
              <w:pStyle w:val="Compact"/>
              <w:jc w:val="left"/>
            </w:pPr>
            <w:r>
              <w:t xml:space="preserve">Service Fee (2%)</w:t>
            </w:r>
          </w:p>
        </w:tc>
        <w:tc>
          <w:tcPr/>
          <w:p>
            <w:pPr>
              <w:pStyle w:val="Compact"/>
              <w:jc w:val="right"/>
            </w:pPr>
            <w:r>
              <w:t xml:space="preserve">1,400,000 IQD</w:t>
            </w:r>
          </w:p>
        </w:tc>
      </w:tr>
      <w:tr>
        <w:tc>
          <w:tcPr/>
          <w:p>
            <w:pPr>
              <w:pStyle w:val="Compact"/>
              <w:jc w:val="left"/>
            </w:pPr>
            <w:r>
              <w:t xml:space="preserve">Grand Total</w:t>
            </w:r>
          </w:p>
        </w:tc>
        <w:tc>
          <w:tcPr/>
          <w:p>
            <w:pPr>
              <w:pStyle w:val="Compact"/>
              <w:jc w:val="right"/>
            </w:pPr>
            <w:r>
              <w:t xml:space="preserve">74,900,000 IQD</w:t>
            </w:r>
          </w:p>
        </w:tc>
      </w:tr>
    </w:tbl>
    <w:bookmarkStart w:id="24" w:name="Xfea3bd6613e5ea380cd57a416ab4727d086ec90"/>
    <w:p>
      <w:pPr>
        <w:pStyle w:val="Heading3"/>
      </w:pPr>
      <w:r>
        <w:t xml:space="preserve">Terms and Conditions – Invoice INV-BGH-2025-00347</w:t>
      </w:r>
    </w:p>
    <w:p>
      <w:pPr>
        <w:pStyle w:val="FirstParagraph"/>
      </w:pPr>
      <w:r>
        <w:t xml:space="preserve">This Invoice is issued by Al-Rafidain HR Consulting Group, a registered professional services firm operating in Iraq Baghdad, in accordance with the terms outlined in Contract Reference CTR-HRM-2025-0112. The services rendered by the designated Human Resources Manager, Dr. Layla Al-Hassan, cover the full scope of human capital management activities as specified in the service agreement.</w:t>
      </w:r>
    </w:p>
    <w:p>
      <w:pPr>
        <w:numPr>
          <w:ilvl w:val="0"/>
          <w:numId w:val="1001"/>
        </w:numPr>
        <w:pStyle w:val="Compact"/>
      </w:pPr>
      <w:r>
        <w:t xml:space="preserve">Payment is due within fifteen (15) calendar days from the issue date of this Invoice. Late payments shall incur a penalty of 1.5% per month as per Iraqi commercial regulations.</w:t>
      </w:r>
    </w:p>
    <w:p>
      <w:pPr>
        <w:numPr>
          <w:ilvl w:val="0"/>
          <w:numId w:val="1001"/>
        </w:numPr>
        <w:pStyle w:val="Compact"/>
      </w:pPr>
      <w:r>
        <w:t xml:space="preserve">All amounts are denominated in Iraqi Dinar (IQD). Payment shall be made via bank transfer to the account details listed below. Cash payments are not accepted for this Invoice.</w:t>
      </w:r>
    </w:p>
    <w:p>
      <w:pPr>
        <w:numPr>
          <w:ilvl w:val="0"/>
          <w:numId w:val="1001"/>
        </w:numPr>
        <w:pStyle w:val="Compact"/>
      </w:pPr>
      <w:r>
        <w:t xml:space="preserve">The Human Resources Manager services described herein are subject to the confidentiality clauses of the master service agreement. All employee data, compensation structures, and organizational information handled during the service period in Iraq Baghdad remain the exclusive property of the client.</w:t>
      </w:r>
    </w:p>
    <w:p>
      <w:pPr>
        <w:numPr>
          <w:ilvl w:val="0"/>
          <w:numId w:val="1001"/>
        </w:numPr>
        <w:pStyle w:val="Compact"/>
      </w:pPr>
      <w:r>
        <w:t xml:space="preserve">This Invoice is valid for ninety (90) days from the issue date. Any dispute regarding the charges listed must be raised in writing within fourteen (14) days of receipt.</w:t>
      </w:r>
    </w:p>
    <w:p>
      <w:pPr>
        <w:numPr>
          <w:ilvl w:val="0"/>
          <w:numId w:val="1001"/>
        </w:numPr>
        <w:pStyle w:val="Compact"/>
      </w:pPr>
      <w:r>
        <w:t xml:space="preserve">Compliance with the Iraqi Labor Law (No. 37 of 2015) and all applicable social security regulations is the responsibility of the client. The Human Resources Manager provides advisory services only and does not assume statutory employer obligations.</w:t>
      </w:r>
    </w:p>
    <w:p>
      <w:pPr>
        <w:numPr>
          <w:ilvl w:val="0"/>
          <w:numId w:val="1001"/>
        </w:numPr>
        <w:pStyle w:val="Compact"/>
      </w:pPr>
      <w:r>
        <w:t xml:space="preserve">Any additional services beyond the scope defined in this Invoice will be billed separately upon written authorization from the client's authorized signatory.</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Central Bank of Iraq – Al-Rafidain Commercial Bank Branch</w:t>
      </w:r>
    </w:p>
    <w:p>
      <w:pPr>
        <w:pStyle w:val="BodyText"/>
      </w:pPr>
      <w:r>
        <w:rPr>
          <w:bCs/>
          <w:b/>
        </w:rPr>
        <w:t xml:space="preserve">Account Name:</w:t>
      </w:r>
      <w:r>
        <w:t xml:space="preserve"> </w:t>
      </w:r>
      <w:r>
        <w:t xml:space="preserve">Al-Rafidain HR Consulting Group</w:t>
      </w:r>
    </w:p>
    <w:p>
      <w:pPr>
        <w:pStyle w:val="BodyText"/>
      </w:pPr>
      <w:r>
        <w:rPr>
          <w:bCs/>
          <w:b/>
        </w:rPr>
        <w:t xml:space="preserve">Account Number:</w:t>
      </w:r>
      <w:r>
        <w:t xml:space="preserve"> </w:t>
      </w:r>
      <w:r>
        <w:t xml:space="preserve">001-4456-7890-1234</w:t>
      </w:r>
    </w:p>
    <w:p>
      <w:pPr>
        <w:pStyle w:val="BodyText"/>
      </w:pPr>
      <w:r>
        <w:rPr>
          <w:bCs/>
          <w:b/>
        </w:rPr>
        <w:t xml:space="preserve">SWIFT Code:</w:t>
      </w:r>
      <w:r>
        <w:t xml:space="preserve"> </w:t>
      </w:r>
      <w:r>
        <w:t xml:space="preserve">RFDIQBBG</w:t>
      </w:r>
    </w:p>
    <w:p>
      <w:pPr>
        <w:pStyle w:val="BodyText"/>
      </w:pPr>
      <w:r>
        <w:rPr>
          <w:bCs/>
          <w:b/>
        </w:rPr>
        <w:t xml:space="preserve">Branch:</w:t>
      </w:r>
      <w:r>
        <w:t xml:space="preserve"> </w:t>
      </w:r>
      <w:r>
        <w:t xml:space="preserve">Baghdad – Al-Mansour</w:t>
      </w:r>
    </w:p>
    <w:p>
      <w:pPr>
        <w:pStyle w:val="BodyText"/>
      </w:pPr>
      <w:r>
        <w:rPr>
          <w:bCs/>
          <w:b/>
        </w:rPr>
        <w:t xml:space="preserve">Reference:</w:t>
      </w:r>
      <w:r>
        <w:t xml:space="preserve"> </w:t>
      </w:r>
      <w:r>
        <w:t xml:space="preserve">Please quote Invoice No. INV-BGH-2025-00347 in all payment communications.</w:t>
      </w:r>
    </w:p>
    <w:bookmarkEnd w:id="25"/>
    <w:p>
      <w:pPr>
        <w:pStyle w:val="BodyText"/>
      </w:pPr>
      <w:r>
        <w:rPr>
          <w:bCs/>
          <w:b/>
        </w:rPr>
        <w:t xml:space="preserve">Al-Rafidain HR Consulting Group</w:t>
      </w:r>
      <w:r>
        <w:t xml:space="preserve"> </w:t>
      </w:r>
      <w:r>
        <w:t xml:space="preserve">| Al-Mansour Business Tower, Baghdad, Iraq | Tel: +964 770 123 4567 | billing@alrafidainhr.iq</w:t>
      </w:r>
    </w:p>
    <w:p>
      <w:pPr>
        <w:pStyle w:val="BodyText"/>
      </w:pPr>
      <w:r>
        <w:t xml:space="preserve">This Invoice was generated electronically and is valid without a physical signature. For verification, contact our billing department in Iraq Baghdad during business hours (Sunday–Thursday, 8:00 AM – 4:00 PM).</w:t>
      </w:r>
    </w:p>
    <w:p>
      <w:pPr>
        <w:pStyle w:val="BodyText"/>
      </w:pPr>
      <w:r>
        <w:t xml:space="preserve">Thank you for your business. We appreciate the opportunity to support your Human Resources Manager needs in Iraq Baghdad.</w:t>
      </w:r>
    </w:p>
    <w:p>
      <w:pPr>
        <w:pStyle w:val="BodyText"/>
      </w:pPr>
      <w:r>
        <w:t xml:space="preserve">© 2025 Al-Rafidain HR Consulting Group. All rights reserved. Invoice INV-BGH-2025-00347.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Iraq Baghdad</dc:title>
  <dc:creator/>
  <dc:language>en</dc:language>
  <cp:keywords/>
  <dcterms:created xsi:type="dcterms:W3CDTF">2026-10-10T03:10:31Z</dcterms:created>
  <dcterms:modified xsi:type="dcterms:W3CDTF">2026-10-10T03:10:31Z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