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meridian-hr-solutions-ltd."/>
    <w:p>
      <w:pPr>
        <w:pStyle w:val="Heading1"/>
      </w:pPr>
      <w:r>
        <w:t xml:space="preserve">Meridian HR Solutions Ltd.</w:t>
      </w:r>
    </w:p>
    <w:p>
      <w:pPr>
        <w:pStyle w:val="FirstParagraph"/>
      </w:pPr>
      <w:r>
        <w:t xml:space="preserve">120 Allenby Street, Suite 402</w:t>
      </w:r>
    </w:p>
    <w:p>
      <w:pPr>
        <w:pStyle w:val="BodyText"/>
      </w:pPr>
      <w:r>
        <w:t xml:space="preserve">Tel Aviv-Yafo, 6500101, Israel</w:t>
      </w:r>
    </w:p>
    <w:p>
      <w:pPr>
        <w:pStyle w:val="BodyText"/>
      </w:pPr>
      <w:r>
        <w:t xml:space="preserve">Tel: +972-3-512-8845 | Email: billing@meridianhr.co.il</w:t>
      </w:r>
    </w:p>
    <w:p>
      <w:pPr>
        <w:pStyle w:val="BodyText"/>
      </w:pPr>
      <w:r>
        <w:t xml:space="preserve">VAT No. 51-234-567-8 | Registration: 51-234-567</w:t>
      </w:r>
    </w:p>
    <w:p>
      <w:pPr>
        <w:pStyle w:val="BodyText"/>
      </w:pPr>
      <w:r>
        <w:t xml:space="preserve">Licensed HR Consulting Firm – Israel Tel Aviv</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MHR-2025-0487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TechNova Industries Ltd.</w:t>
      </w:r>
    </w:p>
    <w:p>
      <w:pPr>
        <w:pStyle w:val="BodyText"/>
      </w:pPr>
      <w:r>
        <w:t xml:space="preserve">Attn: Mr. David Levi, Chief Executive Officer</w:t>
      </w:r>
    </w:p>
    <w:p>
      <w:pPr>
        <w:pStyle w:val="BodyText"/>
      </w:pPr>
      <w:r>
        <w:t xml:space="preserve">45 Dizengoff Center, Floor 12</w:t>
      </w:r>
    </w:p>
    <w:p>
      <w:pPr>
        <w:pStyle w:val="BodyText"/>
      </w:pPr>
      <w:r>
        <w:t xml:space="preserve">Tel Aviv-Yafo, 6500101, Israel</w:t>
      </w:r>
    </w:p>
    <w:p>
      <w:pPr>
        <w:pStyle w:val="BodyText"/>
      </w:pPr>
      <w:r>
        <w:t xml:space="preserve">VAT No. 51-987-654-3</w:t>
      </w:r>
    </w:p>
    <w:p>
      <w:pPr>
        <w:pStyle w:val="BodyText"/>
      </w:pPr>
      <w:r>
        <w:t xml:space="preserve">Email: d.levi@technova.co.il</w:t>
      </w:r>
    </w:p>
    <w:bookmarkEnd w:id="22"/>
    <w:bookmarkStart w:id="23" w:name="service-provider"/>
    <w:p>
      <w:pPr>
        <w:pStyle w:val="Heading3"/>
      </w:pPr>
      <w:r>
        <w:t xml:space="preserve">Service Provider</w:t>
      </w:r>
    </w:p>
    <w:p>
      <w:pPr>
        <w:pStyle w:val="FirstParagraph"/>
      </w:pPr>
      <w:r>
        <w:rPr>
          <w:bCs/>
          <w:b/>
        </w:rPr>
        <w:t xml:space="preserve">Meridian HR Solutions Ltd.</w:t>
      </w:r>
    </w:p>
    <w:p>
      <w:pPr>
        <w:pStyle w:val="BodyText"/>
      </w:pPr>
      <w:r>
        <w:t xml:space="preserve">Lead Consultant: Ms. Rachel Ben-Ami</w:t>
      </w:r>
    </w:p>
    <w:p>
      <w:pPr>
        <w:pStyle w:val="BodyText"/>
      </w:pPr>
      <w:r>
        <w:t xml:space="preserve">Human Resources Manager, Senior Level</w:t>
      </w:r>
    </w:p>
    <w:p>
      <w:pPr>
        <w:pStyle w:val="BodyText"/>
      </w:pPr>
      <w:r>
        <w:t xml:space="preserve">120 Allenby Street, Suite 402</w:t>
      </w:r>
    </w:p>
    <w:p>
      <w:pPr>
        <w:pStyle w:val="BodyText"/>
      </w:pPr>
      <w:r>
        <w:t xml:space="preserve">Tel Aviv-Yafo, 6500101, Israel</w:t>
      </w:r>
    </w:p>
    <w:p>
      <w:pPr>
        <w:pStyle w:val="BodyText"/>
      </w:pPr>
      <w:r>
        <w:t xml:space="preserve">Email: r.benami@meridianhr.co.il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(ILS)</w:t>
            </w:r>
          </w:p>
        </w:tc>
        <w:tc>
          <w:tcPr/>
          <w:p>
            <w:pPr>
              <w:pStyle w:val="Compact"/>
              <w:jc w:val="left"/>
            </w:pPr>
            <w:r>
              <w:t xml:space="preserve">Hours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Strategic workforce planning and organizational restructuring advisory provided by the Human Resources Manager for Q2 2025, including headcount analysis and departmental realignment across all Tel Aviv offices.</w:t>
            </w:r>
          </w:p>
        </w:tc>
        <w:tc>
          <w:tcPr/>
          <w:p>
            <w:pPr>
              <w:pStyle w:val="Compact"/>
              <w:jc w:val="left"/>
            </w:pPr>
            <w:r>
              <w:t xml:space="preserve">1,850.00</w:t>
            </w:r>
          </w:p>
        </w:tc>
        <w:tc>
          <w:tcPr/>
          <w:p>
            <w:pPr>
              <w:pStyle w:val="Compact"/>
              <w:jc w:val="left"/>
            </w:pPr>
            <w:r>
              <w:t xml:space="preserve">24</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Recruitment and talent acquisition management: end-to-end sourcing, screening, interviewing, and onboarding of 12 new employees for engineering and product teams, coordinated by the Human Resources Manager in Israel Tel Aviv.</w:t>
            </w:r>
          </w:p>
        </w:tc>
        <w:tc>
          <w:tcPr/>
          <w:p>
            <w:pPr>
              <w:pStyle w:val="Compact"/>
              <w:jc w:val="left"/>
            </w:pPr>
            <w:r>
              <w:t xml:space="preserve">1,650.00</w:t>
            </w:r>
          </w:p>
        </w:tc>
        <w:tc>
          <w:tcPr/>
          <w:p>
            <w:pPr>
              <w:pStyle w:val="Compact"/>
              <w:jc w:val="left"/>
            </w:pPr>
            <w:r>
              <w:t xml:space="preserve">36</w:t>
            </w:r>
          </w:p>
        </w:tc>
        <w:tc>
          <w:tcPr/>
          <w:p>
            <w:pPr>
              <w:pStyle w:val="Compact"/>
              <w:jc w:val="left"/>
            </w:pPr>
            <w:r>
              <w:t xml:space="preserve">59,400.00</w:t>
            </w:r>
          </w:p>
        </w:tc>
      </w:tr>
      <w:tr>
        <w:tc>
          <w:tcPr/>
          <w:p>
            <w:pPr>
              <w:pStyle w:val="Compact"/>
              <w:jc w:val="left"/>
            </w:pPr>
            <w:r>
              <w:t xml:space="preserve">3</w:t>
            </w:r>
          </w:p>
        </w:tc>
        <w:tc>
          <w:tcPr/>
          <w:p>
            <w:pPr>
              <w:pStyle w:val="Compact"/>
              <w:jc w:val="left"/>
            </w:pPr>
            <w:r>
              <w:t xml:space="preserve">Employee relations and conflict resolution: mediation of 4 workplace disputes, policy revision for remote-work compliance under Israeli labor law, and implementation of a new grievance procedure overseen by the Human Resources Manager.</w:t>
            </w:r>
          </w:p>
        </w:tc>
        <w:tc>
          <w:tcPr/>
          <w:p>
            <w:pPr>
              <w:pStyle w:val="Compact"/>
              <w:jc w:val="left"/>
            </w:pPr>
            <w:r>
              <w:t xml:space="preserve">1,750.00</w:t>
            </w:r>
          </w:p>
        </w:tc>
        <w:tc>
          <w:tcPr/>
          <w:p>
            <w:pPr>
              <w:pStyle w:val="Compact"/>
              <w:jc w:val="left"/>
            </w:pPr>
            <w:r>
              <w:t xml:space="preserve">18</w:t>
            </w:r>
          </w:p>
        </w:tc>
        <w:tc>
          <w:tcPr/>
          <w:p>
            <w:pPr>
              <w:pStyle w:val="Compact"/>
              <w:jc w:val="left"/>
            </w:pPr>
            <w:r>
              <w:t xml:space="preserve">31,500.00</w:t>
            </w:r>
          </w:p>
        </w:tc>
      </w:tr>
      <w:tr>
        <w:tc>
          <w:tcPr/>
          <w:p>
            <w:pPr>
              <w:pStyle w:val="Compact"/>
              <w:jc w:val="left"/>
            </w:pPr>
            <w:r>
              <w:t xml:space="preserve">4</w:t>
            </w:r>
          </w:p>
        </w:tc>
        <w:tc>
          <w:tcPr/>
          <w:p>
            <w:pPr>
              <w:pStyle w:val="Compact"/>
              <w:jc w:val="left"/>
            </w:pPr>
            <w:r>
              <w:t xml:space="preserve">Compensation and benefits benchmarking: comprehensive salary survey analysis for the Israel Tel Aviv tech sector, equity plan restructuring, and annual bonus scheme design prepared by the Human Resources Manager.</w:t>
            </w:r>
          </w:p>
        </w:tc>
        <w:tc>
          <w:tcPr/>
          <w:p>
            <w:pPr>
              <w:pStyle w:val="Compact"/>
              <w:jc w:val="left"/>
            </w:pPr>
            <w:r>
              <w:t xml:space="preserve">1,900.00</w:t>
            </w:r>
          </w:p>
        </w:tc>
        <w:tc>
          <w:tcPr/>
          <w:p>
            <w:pPr>
              <w:pStyle w:val="Compact"/>
              <w:jc w:val="left"/>
            </w:pPr>
            <w:r>
              <w:t xml:space="preserve">20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Compliance and legal advisory: review of employment contracts against the Israeli Labor Ordinance, preparation of internal HR policies for the Israel Tel Aviv regulatory environment, and guidance on the new National Insurance Institute (Bituach Leumi) reporting requirements.</w:t>
            </w:r>
          </w:p>
        </w:tc>
        <w:tc>
          <w:tcPr/>
          <w:p>
            <w:pPr>
              <w:pStyle w:val="Compact"/>
              <w:jc w:val="left"/>
            </w:pPr>
            <w:r>
              <w:t xml:space="preserve">2,100.00</w:t>
            </w:r>
          </w:p>
        </w:tc>
        <w:tc>
          <w:tcPr/>
          <w:p>
            <w:pPr>
              <w:pStyle w:val="Compact"/>
              <w:jc w:val="left"/>
            </w:pPr>
            <w:r>
              <w:t xml:space="preserve">16</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Performance management system implementation: design and rollout of a 360-degree review framework, calibration workshops for 8 department heads, and KPI alignment sessions led by the Human Resources Manager.</w:t>
            </w:r>
          </w:p>
        </w:tc>
        <w:tc>
          <w:tcPr/>
          <w:p>
            <w:pPr>
              <w:pStyle w:val="Compact"/>
              <w:jc w:val="left"/>
            </w:pPr>
            <w:r>
              <w:t xml:space="preserve">1,800.00</w:t>
            </w:r>
          </w:p>
        </w:tc>
        <w:tc>
          <w:tcPr/>
          <w:p>
            <w:pPr>
              <w:pStyle w:val="Compact"/>
              <w:jc w:val="left"/>
            </w:pPr>
            <w:r>
              <w:t xml:space="preserve">22</w:t>
            </w:r>
          </w:p>
        </w:tc>
        <w:tc>
          <w:tcPr/>
          <w:p>
            <w:pPr>
              <w:pStyle w:val="Compact"/>
              <w:jc w:val="left"/>
            </w:pPr>
            <w:r>
              <w:t xml:space="preserve">39,600.00</w:t>
            </w:r>
          </w:p>
        </w:tc>
      </w:tr>
      <w:tr>
        <w:tc>
          <w:tcPr/>
          <w:p>
            <w:pPr>
              <w:pStyle w:val="Compact"/>
              <w:jc w:val="left"/>
            </w:pPr>
            <w:r>
              <w:t xml:space="preserve">7</w:t>
            </w:r>
          </w:p>
        </w:tc>
        <w:tc>
          <w:tcPr/>
          <w:p>
            <w:pPr>
              <w:pStyle w:val="Compact"/>
              <w:jc w:val="left"/>
            </w:pPr>
            <w:r>
              <w:t xml:space="preserve">Training and development program: facilitation of 3 leadership development workshops, diversity and inclusion training for all staff in Israel Tel Aviv, and creation of an internal learning management system curriculum.</w:t>
            </w:r>
          </w:p>
        </w:tc>
        <w:tc>
          <w:tcPr/>
          <w:p>
            <w:pPr>
              <w:pStyle w:val="Compact"/>
              <w:jc w:val="left"/>
            </w:pPr>
            <w:r>
              <w:t xml:space="preserve">1,550.00</w:t>
            </w:r>
          </w:p>
        </w:tc>
        <w:tc>
          <w:tcPr/>
          <w:p>
            <w:pPr>
              <w:pStyle w:val="Compact"/>
              <w:jc w:val="left"/>
            </w:pPr>
            <w:r>
              <w:t xml:space="preserve">14</w:t>
            </w:r>
          </w:p>
        </w:tc>
        <w:tc>
          <w:tcPr/>
          <w:p>
            <w:pPr>
              <w:pStyle w:val="Compact"/>
              <w:jc w:val="left"/>
            </w:pPr>
            <w:r>
              <w:t xml:space="preserve">21,700.00</w:t>
            </w:r>
          </w:p>
        </w:tc>
      </w:tr>
      <w:tr>
        <w:tc>
          <w:tcPr/>
          <w:p>
            <w:pPr>
              <w:pStyle w:val="Compact"/>
              <w:jc w:val="left"/>
            </w:pPr>
            <w:r>
              <w:t xml:space="preserve">8</w:t>
            </w:r>
          </w:p>
        </w:tc>
        <w:tc>
          <w:tcPr/>
          <w:p>
            <w:pPr>
              <w:pStyle w:val="Compact"/>
              <w:jc w:val="left"/>
            </w:pPr>
            <w:r>
              <w:t xml:space="preserve">Monthly HR analytics and reporting: generation of workforce dashboards, turnover analysis, engagement survey results, and executive summary presentations delivered to the board by the Human Resources Manager.</w:t>
            </w:r>
          </w:p>
        </w:tc>
        <w:tc>
          <w:tcPr/>
          <w:p>
            <w:pPr>
              <w:pStyle w:val="Compact"/>
              <w:jc w:val="left"/>
            </w:pPr>
            <w:r>
              <w:t xml:space="preserve">1,400.00</w:t>
            </w:r>
          </w:p>
        </w:tc>
        <w:tc>
          <w:tcPr/>
          <w:p>
            <w:pPr>
              <w:pStyle w:val="Compact"/>
              <w:jc w:val="left"/>
            </w:pPr>
            <w:r>
              <w:t xml:space="preserve">10</w:t>
            </w:r>
          </w:p>
        </w:tc>
        <w:tc>
          <w:tcPr/>
          <w:p>
            <w:pPr>
              <w:pStyle w:val="Compact"/>
              <w:jc w:val="left"/>
            </w:pPr>
            <w:r>
              <w:t xml:space="preserve">14,000.00</w:t>
            </w:r>
          </w:p>
        </w:tc>
      </w:tr>
    </w:tbl>
    <w:p>
      <w:pPr>
        <w:pStyle w:val="BodyText"/>
      </w:pPr>
      <w:r>
        <w:t xml:space="preserve">Subtotal (Excl. VAT):</w:t>
      </w:r>
      <w:r>
        <w:t xml:space="preserve">ILS 282,200.00</w:t>
      </w:r>
    </w:p>
    <w:p>
      <w:pPr>
        <w:pStyle w:val="BodyText"/>
      </w:pPr>
      <w:r>
        <w:t xml:space="preserve">VAT @ 18% (Israel):</w:t>
      </w:r>
      <w:r>
        <w:t xml:space="preserve">ILS 50,796.00</w:t>
      </w:r>
    </w:p>
    <w:p>
      <w:pPr>
        <w:pStyle w:val="BodyText"/>
      </w:pPr>
      <w:r>
        <w:t xml:space="preserve">Discount (Early Payment 2%):</w:t>
      </w:r>
      <w:r>
        <w:t xml:space="preserve">– ILS 5,644.00</w:t>
      </w:r>
    </w:p>
    <w:p>
      <w:pPr>
        <w:pStyle w:val="BodyText"/>
      </w:pPr>
      <w:r>
        <w:t xml:space="preserve">TOTAL DUE:</w:t>
      </w:r>
      <w:r>
        <w:t xml:space="preserve">ILS 327,352.00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Meridian HR Solutions Ltd.</w:t>
      </w:r>
    </w:p>
    <w:p>
      <w:pPr>
        <w:pStyle w:val="BodyText"/>
      </w:pPr>
      <w:r>
        <w:rPr>
          <w:bCs/>
          <w:b/>
        </w:rPr>
        <w:t xml:space="preserve">IBAN:</w:t>
      </w:r>
      <w:r>
        <w:t xml:space="preserve"> </w:t>
      </w:r>
      <w:r>
        <w:t xml:space="preserve">IL15 0100 0000 0000 0000 0000 0</w:t>
      </w:r>
    </w:p>
    <w:p>
      <w:pPr>
        <w:pStyle w:val="BodyText"/>
      </w:pPr>
      <w:r>
        <w:rPr>
          <w:bCs/>
          <w:b/>
        </w:rPr>
        <w:t xml:space="preserve">SWIFT/BIC:</w:t>
      </w:r>
      <w:r>
        <w:t xml:space="preserve"> </w:t>
      </w:r>
      <w:r>
        <w:t xml:space="preserve">POBALILT</w:t>
      </w:r>
    </w:p>
    <w:p>
      <w:pPr>
        <w:pStyle w:val="BodyText"/>
      </w:pPr>
      <w:r>
        <w:rPr>
          <w:bCs/>
          <w:b/>
        </w:rPr>
        <w:t xml:space="preserve">Reference:</w:t>
      </w:r>
      <w:r>
        <w:t xml:space="preserve"> </w:t>
      </w:r>
      <w:r>
        <w:t xml:space="preserve">MHR-2025-0487</w:t>
      </w:r>
    </w:p>
    <w:p>
      <w:pPr>
        <w:pStyle w:val="BodyText"/>
      </w:pPr>
      <w:r>
        <w:t xml:space="preserve">Please ensure that the Invoice reference number is included in your bank transfer memo. Payment is due within 14 calendar days from the issue date. Late payments are subject to a 1.5% monthly interest charge in accordance with Israeli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services rendered by Ms. Rachel Ben-Ami, Human Resources Manager at Meridian HR Solutions Ltd., during the period of May 2025. All services were performed in Israel Tel Aviv and are subject to Israeli labor and tax regulations.</w:t>
      </w:r>
    </w:p>
    <w:p>
      <w:pPr>
        <w:pStyle w:val="BodyText"/>
      </w:pPr>
      <w:r>
        <w:t xml:space="preserve">2. The Human Resources Manager has dedicated a total of 160 professional hours to this engagement. All deliverables, including policy documents, training materials, and analytics reports, have been submitted to the client via the shared project portal by 31 May 2025.</w:t>
      </w:r>
    </w:p>
    <w:p>
      <w:pPr>
        <w:pStyle w:val="BodyText"/>
      </w:pPr>
      <w:r>
        <w:t xml:space="preserve">3. This Invoice is issued in accordance with the Service Agreement dated 01 January 2025 (Contract No. SA-2025-012) between Meridian HR Solutions Ltd. and TechNova Industries Ltd., both registered in Israel Tel Aviv.</w:t>
      </w:r>
    </w:p>
    <w:p>
      <w:pPr>
        <w:pStyle w:val="BodyText"/>
      </w:pPr>
      <w:r>
        <w:t xml:space="preserve">4. Any disputes arising from this Invoice shall be resolved under the jurisdiction of the Tel Aviv District Court, Israel. The parties agree to attempt mediation before initiating formal legal proceedings.</w:t>
      </w:r>
    </w:p>
    <w:p>
      <w:pPr>
        <w:pStyle w:val="BodyText"/>
      </w:pPr>
      <w:r>
        <w:t xml:space="preserve">5. Please retain this Invoice for your corporate tax records. A digital copy has also been sent to your finance department via email. For any questions regarding line items or service descriptions, please contact the billing office at billing@meridianhr.co.il within 10 business days.</w:t>
      </w:r>
    </w:p>
    <w:bookmarkEnd w:id="25"/>
    <w:p>
      <w:pPr>
        <w:pStyle w:val="BodyText"/>
      </w:pPr>
      <w:r>
        <w:rPr>
          <w:bCs/>
          <w:b/>
        </w:rPr>
        <w:t xml:space="preserve">Meridian HR Solutions Ltd.</w:t>
      </w:r>
      <w:r>
        <w:t xml:space="preserve"> </w:t>
      </w:r>
      <w:r>
        <w:t xml:space="preserve">| 120 Allenby Street, Suite 402, Tel Aviv-Yafo, 6500101, Israel</w:t>
      </w:r>
    </w:p>
    <w:p>
      <w:pPr>
        <w:pStyle w:val="BodyText"/>
      </w:pPr>
      <w:r>
        <w:t xml:space="preserve">VAT No. 51-234-567-8 | Company Registration: 51-234-567 | Tel: +972-3-512-8845</w:t>
      </w:r>
    </w:p>
    <w:p>
      <w:pPr>
        <w:pStyle w:val="BodyText"/>
      </w:pPr>
      <w:r>
        <w:t xml:space="preserve">This Invoice was generated electronically and is valid without a physical signature. For verification, contact the issuer at the address above.</w:t>
      </w:r>
    </w:p>
    <w:p>
      <w:pPr>
        <w:pStyle w:val="BodyText"/>
      </w:pPr>
      <w:r>
        <w:t xml:space="preserve">Thank you for your business. We look forward to continuing our partnership in Israel Tel Aviv.</w:t>
      </w:r>
    </w:p>
    <w:p>
      <w:pPr>
        <w:pStyle w:val="BodyText"/>
      </w:pPr>
      <w:r>
        <w:t xml:space="preserve">Invoice MHR-2025-0487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Israel Tel Aviv</dc:title>
  <dc:creator/>
  <dc:language>en</dc:language>
  <cp:keywords/>
  <dcterms:created xsi:type="dcterms:W3CDTF">2026-10-10T03:39:16Z</dcterms:created>
  <dcterms:modified xsi:type="dcterms:W3CDTF">2026-10-10T03:39:16Z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