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hr-excellence-consulting-s.r.l."/>
    <w:p>
      <w:pPr>
        <w:pStyle w:val="Heading1"/>
      </w:pPr>
      <w:r>
        <w:t xml:space="preserve">HR Excellence Consulting S.r.l.</w:t>
      </w:r>
    </w:p>
    <w:p>
      <w:pPr>
        <w:pStyle w:val="FirstParagraph"/>
      </w:pPr>
      <w:r>
        <w:t xml:space="preserve">Via Montenapoleone 42, 20121 Milan, Italy</w:t>
      </w:r>
    </w:p>
    <w:p>
      <w:pPr>
        <w:pStyle w:val="BodyText"/>
      </w:pPr>
      <w:r>
        <w:t xml:space="preserve">VAT Number (P.IVA): IT02458710963</w:t>
      </w:r>
    </w:p>
    <w:p>
      <w:pPr>
        <w:pStyle w:val="BodyText"/>
      </w:pPr>
      <w:r>
        <w:t xml:space="preserve">Chamber of Commerce: MI-1234567</w:t>
      </w:r>
    </w:p>
    <w:p>
      <w:pPr>
        <w:pStyle w:val="BodyText"/>
      </w:pPr>
      <w:r>
        <w:t xml:space="preserve">Phone: +39 02 8765 4321</w:t>
      </w:r>
    </w:p>
    <w:p>
      <w:pPr>
        <w:pStyle w:val="BodyText"/>
      </w:pPr>
      <w:r>
        <w:t xml:space="preserve">Email: billing@hrexcellence-milano.it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Italy Milan</w:t>
      </w:r>
    </w:p>
    <w:bookmarkEnd w:id="21"/>
    <w:bookmarkStart w:id="22" w:name="billed-to"/>
    <w:p>
      <w:pPr>
        <w:pStyle w:val="Heading3"/>
      </w:pPr>
      <w:r>
        <w:t xml:space="preserve">Billed To</w:t>
      </w:r>
    </w:p>
    <w:p>
      <w:pPr>
        <w:pStyle w:val="FirstParagraph"/>
      </w:pPr>
      <w:r>
        <w:rPr>
          <w:bCs/>
          <w:b/>
        </w:rPr>
        <w:t xml:space="preserve">TechNova Industries S.p.A.</w:t>
      </w:r>
    </w:p>
    <w:p>
      <w:pPr>
        <w:pStyle w:val="BodyText"/>
      </w:pPr>
      <w:r>
        <w:t xml:space="preserve">Attn: Mr. Alessandro Bianchi, Chief Executive Officer</w:t>
      </w:r>
    </w:p>
    <w:p>
      <w:pPr>
        <w:pStyle w:val="BodyText"/>
      </w:pPr>
      <w:r>
        <w:t xml:space="preserve">Via Paolo Sarpi 28, 20154 Milan, Italy</w:t>
      </w:r>
    </w:p>
    <w:p>
      <w:pPr>
        <w:pStyle w:val="BodyText"/>
      </w:pPr>
      <w:r>
        <w:t xml:space="preserve">VAT Number (P.IVA): IT01987650961</w:t>
      </w:r>
    </w:p>
    <w:p>
      <w:pPr>
        <w:pStyle w:val="BodyText"/>
      </w:pPr>
      <w:r>
        <w:t xml:space="preserve">Phone: +39 02 4455 6677</w:t>
      </w:r>
    </w:p>
    <w:p>
      <w:pPr>
        <w:pStyle w:val="BodyText"/>
      </w:pPr>
      <w:r>
        <w:t xml:space="preserve">Email: a.bianchi@technova-industries.it</w:t>
      </w:r>
    </w:p>
    <w:bookmarkEnd w:id="22"/>
    <w:bookmarkStart w:id="23" w:name="service-provider"/>
    <w:p>
      <w:pPr>
        <w:pStyle w:val="Heading3"/>
      </w:pPr>
      <w:r>
        <w:t xml:space="preserve">Service Provider</w:t>
      </w:r>
    </w:p>
    <w:p>
      <w:pPr>
        <w:pStyle w:val="FirstParagraph"/>
      </w:pPr>
      <w:r>
        <w:rPr>
          <w:bCs/>
          <w:b/>
        </w:rPr>
        <w:t xml:space="preserve">Dr. Francesca Moretti</w:t>
      </w:r>
    </w:p>
    <w:p>
      <w:pPr>
        <w:pStyle w:val="BodyText"/>
      </w:pPr>
      <w:r>
        <w:t xml:space="preserve">Human Resources Manager</w:t>
      </w:r>
    </w:p>
    <w:p>
      <w:pPr>
        <w:pStyle w:val="BodyText"/>
      </w:pPr>
      <w:r>
        <w:t xml:space="preserve">HR Excellence Consulting S.r.l.</w:t>
      </w:r>
    </w:p>
    <w:p>
      <w:pPr>
        <w:pStyle w:val="BodyText"/>
      </w:pPr>
      <w:r>
        <w:t xml:space="preserve">Via Montenapoleone 42, 20121 Milan, Italy</w:t>
      </w:r>
    </w:p>
    <w:p>
      <w:pPr>
        <w:pStyle w:val="BodyText"/>
      </w:pPr>
      <w:r>
        <w:t xml:space="preserve">Professional License: HRM-IT-2019-00342</w:t>
      </w:r>
    </w:p>
    <w:p>
      <w:pPr>
        <w:pStyle w:val="BodyText"/>
      </w:pPr>
      <w:r>
        <w:t xml:space="preserve">Phone: +39 333 876 5432</w:t>
      </w:r>
    </w:p>
    <w:p>
      <w:pPr>
        <w:pStyle w:val="BodyText"/>
      </w:pPr>
      <w:r>
        <w:t xml:space="preserve">Email: f.moretti@hrexcellence-milano.it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Strategic Workforce Planning &amp; Organizational Design</w:t>
            </w:r>
            <w:r>
              <w:br/>
            </w:r>
            <w:r>
              <w:t xml:space="preserve">Comprehensive analysis of the organizational structure for TechNova Industries S.p.A. in Italy Milan. The Human Resources Manager conducted a full audit of current staffing levels, identified gaps in key departments, and delivered a 45-page strategic workforce plan aligned with the company's 2025–2028 growth objectives in the Milan metropolitan region.</w:t>
            </w:r>
          </w:p>
        </w:tc>
        <w:tc>
          <w:tcPr/>
          <w:p>
            <w:pPr>
              <w:pStyle w:val="Compact"/>
              <w:jc w:val="left"/>
            </w:pPr>
            <w:r>
              <w:t xml:space="preserve">40 hrs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Recruitment Strategy &amp; Talent Acquisition Management</w:t>
            </w:r>
            <w:r>
              <w:br/>
            </w:r>
            <w:r>
              <w:t xml:space="preserve">The Human Resources Manager designed and implemented a multi-channel recruitment strategy targeting senior engineering and data science positions. This included drafting job descriptions, coordinating with Italian recruitment agencies in Milan, conducting 32 candidate interviews, and managing the full selection pipeline for 8 critical roles.</w:t>
            </w:r>
          </w:p>
        </w:tc>
        <w:tc>
          <w:tcPr/>
          <w:p>
            <w:pPr>
              <w:pStyle w:val="Compact"/>
              <w:jc w:val="left"/>
            </w:pPr>
            <w:r>
              <w:t xml:space="preserve">56 hrs</w:t>
            </w:r>
          </w:p>
        </w:tc>
        <w:tc>
          <w:tcPr/>
          <w:p>
            <w:pPr>
              <w:pStyle w:val="Compact"/>
              <w:jc w:val="left"/>
            </w:pPr>
            <w:r>
              <w:t xml:space="preserve">€110.00</w:t>
            </w:r>
          </w:p>
        </w:tc>
        <w:tc>
          <w:tcPr/>
          <w:p>
            <w:pPr>
              <w:pStyle w:val="Compact"/>
              <w:jc w:val="left"/>
            </w:pPr>
            <w:r>
              <w:t xml:space="preserve">€6,160.00</w:t>
            </w:r>
          </w:p>
        </w:tc>
      </w:tr>
      <w:tr>
        <w:tc>
          <w:tcPr/>
          <w:p>
            <w:pPr>
              <w:pStyle w:val="Compact"/>
              <w:jc w:val="left"/>
            </w:pPr>
            <w:r>
              <w:t xml:space="preserve">3</w:t>
            </w:r>
          </w:p>
        </w:tc>
        <w:tc>
          <w:tcPr/>
          <w:p>
            <w:pPr>
              <w:pStyle w:val="Compact"/>
              <w:jc w:val="left"/>
            </w:pPr>
            <w:r>
              <w:rPr>
                <w:bCs/>
                <w:b/>
              </w:rPr>
              <w:t xml:space="preserve">Employee Compensation &amp; Benefits Benchmarking</w:t>
            </w:r>
            <w:r>
              <w:br/>
            </w:r>
            <w:r>
              <w:t xml:space="preserve">Detailed market analysis of compensation packages across the Italy Milan technology sector. The Human Resources Manager prepared a comparative salary survey covering 15 competitor firms, recommended adjustments to base pay, bonus structures, and supplementary benefits (including TFR, health insurance, and pension contributions) to ensure competitive positioning.</w:t>
            </w:r>
          </w:p>
        </w:tc>
        <w:tc>
          <w:tcPr/>
          <w:p>
            <w:pPr>
              <w:pStyle w:val="Compact"/>
              <w:jc w:val="left"/>
            </w:pPr>
            <w:r>
              <w:t xml:space="preserve">32 hrs</w:t>
            </w:r>
          </w:p>
        </w:tc>
        <w:tc>
          <w:tcPr/>
          <w:p>
            <w:pPr>
              <w:pStyle w:val="Compact"/>
              <w:jc w:val="left"/>
            </w:pPr>
            <w:r>
              <w:t xml:space="preserve">€115.00</w:t>
            </w:r>
          </w:p>
        </w:tc>
        <w:tc>
          <w:tcPr/>
          <w:p>
            <w:pPr>
              <w:pStyle w:val="Compact"/>
              <w:jc w:val="left"/>
            </w:pPr>
            <w:r>
              <w:t xml:space="preserve">€3,680.00</w:t>
            </w:r>
          </w:p>
        </w:tc>
      </w:tr>
      <w:tr>
        <w:tc>
          <w:tcPr/>
          <w:p>
            <w:pPr>
              <w:pStyle w:val="Compact"/>
              <w:jc w:val="left"/>
            </w:pPr>
            <w:r>
              <w:t xml:space="preserve">4</w:t>
            </w:r>
          </w:p>
        </w:tc>
        <w:tc>
          <w:tcPr/>
          <w:p>
            <w:pPr>
              <w:pStyle w:val="Compact"/>
              <w:jc w:val="left"/>
            </w:pPr>
            <w:r>
              <w:rPr>
                <w:bCs/>
                <w:b/>
              </w:rPr>
              <w:t xml:space="preserve">Compliance &amp; Italian Labor Law Advisory</w:t>
            </w:r>
            <w:r>
              <w:br/>
            </w:r>
            <w:r>
              <w:t xml:space="preserve">Full legal compliance review in accordance with Italian labor legislation (Statuto dei Lavoratori, D.Lgs. 81/2008, CCNL Metalmeccanici). The Human Resources Manager ensured all employment contracts, working-time regulations, and health &amp; safety documentation for the Milan office were fully compliant with current national and regional requirements.</w:t>
            </w:r>
          </w:p>
        </w:tc>
        <w:tc>
          <w:tcPr/>
          <w:p>
            <w:pPr>
              <w:pStyle w:val="Compact"/>
              <w:jc w:val="left"/>
            </w:pPr>
            <w:r>
              <w:t xml:space="preserve">24 hrs</w:t>
            </w:r>
          </w:p>
        </w:tc>
        <w:tc>
          <w:tcPr/>
          <w:p>
            <w:pPr>
              <w:pStyle w:val="Compact"/>
              <w:jc w:val="left"/>
            </w:pPr>
            <w:r>
              <w:t xml:space="preserve">€130.00</w:t>
            </w:r>
          </w:p>
        </w:tc>
        <w:tc>
          <w:tcPr/>
          <w:p>
            <w:pPr>
              <w:pStyle w:val="Compact"/>
              <w:jc w:val="left"/>
            </w:pPr>
            <w:r>
              <w:t xml:space="preserve">€3,120.00</w:t>
            </w:r>
          </w:p>
        </w:tc>
      </w:tr>
      <w:tr>
        <w:tc>
          <w:tcPr/>
          <w:p>
            <w:pPr>
              <w:pStyle w:val="Compact"/>
              <w:jc w:val="left"/>
            </w:pPr>
            <w:r>
              <w:t xml:space="preserve">5</w:t>
            </w:r>
          </w:p>
        </w:tc>
        <w:tc>
          <w:tcPr/>
          <w:p>
            <w:pPr>
              <w:pStyle w:val="Compact"/>
              <w:jc w:val="left"/>
            </w:pPr>
            <w:r>
              <w:rPr>
                <w:bCs/>
                <w:b/>
              </w:rPr>
              <w:t xml:space="preserve">Performance Management System Implementation</w:t>
            </w:r>
            <w:r>
              <w:br/>
            </w:r>
            <w:r>
              <w:t xml:space="preserve">Design and rollout of a new KPI-based performance evaluation framework. The Human Resources Manager developed individual scorecards for 120 employees, trained 15 department managers on the new appraisal process, and established quarterly review cycles integrated with the company's HRIS platform.</w:t>
            </w:r>
          </w:p>
        </w:tc>
        <w:tc>
          <w:tcPr/>
          <w:p>
            <w:pPr>
              <w:pStyle w:val="Compact"/>
              <w:jc w:val="left"/>
            </w:pPr>
            <w:r>
              <w:t xml:space="preserve">48 hrs</w:t>
            </w:r>
          </w:p>
        </w:tc>
        <w:tc>
          <w:tcPr/>
          <w:p>
            <w:pPr>
              <w:pStyle w:val="Compact"/>
              <w:jc w:val="left"/>
            </w:pPr>
            <w:r>
              <w:t xml:space="preserve">€110.00</w:t>
            </w:r>
          </w:p>
        </w:tc>
        <w:tc>
          <w:tcPr/>
          <w:p>
            <w:pPr>
              <w:pStyle w:val="Compact"/>
              <w:jc w:val="left"/>
            </w:pPr>
            <w:r>
              <w:t xml:space="preserve">€5,280.00</w:t>
            </w:r>
          </w:p>
        </w:tc>
      </w:tr>
      <w:tr>
        <w:tc>
          <w:tcPr/>
          <w:p>
            <w:pPr>
              <w:pStyle w:val="Compact"/>
              <w:jc w:val="left"/>
            </w:pPr>
            <w:r>
              <w:t xml:space="preserve">6</w:t>
            </w:r>
          </w:p>
        </w:tc>
        <w:tc>
          <w:tcPr/>
          <w:p>
            <w:pPr>
              <w:pStyle w:val="Compact"/>
              <w:jc w:val="left"/>
            </w:pPr>
            <w:r>
              <w:rPr>
                <w:bCs/>
                <w:b/>
              </w:rPr>
              <w:t xml:space="preserve">Employee Engagement &amp; Internal Communication Program</w:t>
            </w:r>
            <w:r>
              <w:br/>
            </w:r>
            <w:r>
              <w:t xml:space="preserve">Development and execution of a company-wide engagement initiative for the Italy Milan headquarters. The Human Resources Manager organized two all-staff town hall meetings, launched an internal feedback portal, designed a recognition program, and produced a quarterly engagement report with actionable recommendations.</w:t>
            </w:r>
          </w:p>
        </w:tc>
        <w:tc>
          <w:tcPr/>
          <w:p>
            <w:pPr>
              <w:pStyle w:val="Compact"/>
              <w:jc w:val="left"/>
            </w:pPr>
            <w:r>
              <w:t xml:space="preserve">20 hrs</w:t>
            </w:r>
          </w:p>
        </w:tc>
        <w:tc>
          <w:tcPr/>
          <w:p>
            <w:pPr>
              <w:pStyle w:val="Compact"/>
              <w:jc w:val="left"/>
            </w:pPr>
            <w:r>
              <w:t xml:space="preserve">€105.00</w:t>
            </w:r>
          </w:p>
        </w:tc>
        <w:tc>
          <w:tcPr/>
          <w:p>
            <w:pPr>
              <w:pStyle w:val="Compact"/>
              <w:jc w:val="left"/>
            </w:pPr>
            <w:r>
              <w:t xml:space="preserve">€2,100.00</w:t>
            </w:r>
          </w:p>
        </w:tc>
      </w:tr>
      <w:tr>
        <w:tc>
          <w:tcPr/>
          <w:p>
            <w:pPr>
              <w:pStyle w:val="Compact"/>
              <w:jc w:val="left"/>
            </w:pPr>
            <w:r>
              <w:t xml:space="preserve">7</w:t>
            </w:r>
          </w:p>
        </w:tc>
        <w:tc>
          <w:tcPr/>
          <w:p>
            <w:pPr>
              <w:pStyle w:val="Compact"/>
              <w:jc w:val="left"/>
            </w:pPr>
            <w:r>
              <w:rPr>
                <w:bCs/>
                <w:b/>
              </w:rPr>
              <w:t xml:space="preserve">Onboarding &amp; Training Program Development</w:t>
            </w:r>
            <w:r>
              <w:br/>
            </w:r>
            <w:r>
              <w:t xml:space="preserve">Creation of a structured 90-day onboarding program for new hires. The Human Resources Manager authored training materials, scheduled mentorship pairings, coordinated with IT for system access provisioning, and conducted orientation sessions for 14 new employees joining the Milan office during the reporting period.</w:t>
            </w:r>
          </w:p>
        </w:tc>
        <w:tc>
          <w:tcPr/>
          <w:p>
            <w:pPr>
              <w:pStyle w:val="Compact"/>
              <w:jc w:val="left"/>
            </w:pPr>
            <w:r>
              <w:t xml:space="preserve">28 hrs</w:t>
            </w:r>
          </w:p>
        </w:tc>
        <w:tc>
          <w:tcPr/>
          <w:p>
            <w:pPr>
              <w:pStyle w:val="Compact"/>
              <w:jc w:val="left"/>
            </w:pPr>
            <w:r>
              <w:t xml:space="preserve">€100.00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€27,940.00</w:t>
            </w:r>
          </w:p>
        </w:tc>
      </w:tr>
      <w:tr>
        <w:tc>
          <w:tcPr/>
          <w:p>
            <w:pPr>
              <w:pStyle w:val="Compact"/>
              <w:jc w:val="left"/>
            </w:pPr>
            <w:r>
              <w:t xml:space="preserve">VAT (IVA) – 22%</w:t>
            </w:r>
          </w:p>
        </w:tc>
        <w:tc>
          <w:tcPr/>
          <w:p>
            <w:pPr>
              <w:pStyle w:val="Compact"/>
              <w:jc w:val="left"/>
            </w:pPr>
            <w:r>
              <w:t xml:space="preserve">€6,146.80</w:t>
            </w:r>
          </w:p>
        </w:tc>
      </w:tr>
      <w:tr>
        <w:tc>
          <w:tcPr/>
          <w:p>
            <w:pPr>
              <w:pStyle w:val="Compact"/>
              <w:jc w:val="left"/>
            </w:pPr>
            <w:r>
              <w:t xml:space="preserve">Withholding Tax (Ritenuta d'acconto) – 4%</w:t>
            </w:r>
          </w:p>
        </w:tc>
        <w:tc>
          <w:tcPr/>
          <w:p>
            <w:pPr>
              <w:pStyle w:val="Compact"/>
              <w:jc w:val="left"/>
            </w:pPr>
            <w:r>
              <w:t xml:space="preserve">– €1,117.60</w:t>
            </w:r>
          </w:p>
        </w:tc>
      </w:tr>
      <w:tr>
        <w:tc>
          <w:tcPr/>
          <w:p>
            <w:pPr>
              <w:pStyle w:val="Compact"/>
              <w:jc w:val="left"/>
            </w:pPr>
            <w:r>
              <w:t xml:space="preserve">Total Due (Net)</w:t>
            </w:r>
          </w:p>
        </w:tc>
        <w:tc>
          <w:tcPr/>
          <w:p>
            <w:pPr>
              <w:pStyle w:val="Compact"/>
              <w:jc w:val="left"/>
            </w:pPr>
            <w:r>
              <w:t xml:space="preserve">€32,969.20</w:t>
            </w:r>
          </w:p>
        </w:tc>
      </w:tr>
    </w:tbl>
    <w:bookmarkStart w:id="24" w:name="payment-instructions"/>
    <w:p>
      <w:pPr>
        <w:pStyle w:val="Heading3"/>
      </w:pPr>
      <w:r>
        <w:t xml:space="preserve">Payment Instructions</w:t>
      </w:r>
    </w:p>
    <w:p>
      <w:pPr>
        <w:pStyle w:val="FirstParagraph"/>
      </w:pPr>
      <w:r>
        <w:rPr>
          <w:bCs/>
          <w:b/>
        </w:rPr>
        <w:t xml:space="preserve">Bank Transfer (Bonifico Bancario):</w:t>
      </w:r>
    </w:p>
    <w:p>
      <w:pPr>
        <w:pStyle w:val="BodyText"/>
      </w:pPr>
      <w:r>
        <w:t xml:space="preserve">IBAN: IT60 X054 2811 1000 0000 0123 456</w:t>
      </w:r>
    </w:p>
    <w:p>
      <w:pPr>
        <w:pStyle w:val="BodyText"/>
      </w:pPr>
      <w:r>
        <w:t xml:space="preserve">BIC/SWIFT: BLOPIT22</w:t>
      </w:r>
    </w:p>
    <w:p>
      <w:pPr>
        <w:pStyle w:val="BodyText"/>
      </w:pPr>
      <w:r>
        <w:t xml:space="preserve">Bank: Banca Intesa S.p.A., Milan Branch</w:t>
      </w:r>
    </w:p>
    <w:p>
      <w:pPr>
        <w:pStyle w:val="BodyText"/>
      </w:pPr>
      <w:r>
        <w:t xml:space="preserve">Reference: Please cite Invoice No. INV-2025-00487 in the payment reference field.</w:t>
      </w:r>
    </w:p>
    <w:p>
      <w:pPr>
        <w:pStyle w:val="BodyText"/>
      </w:pPr>
      <w:r>
        <w:rPr>
          <w:bCs/>
          <w:b/>
        </w:rPr>
        <w:t xml:space="preserve">Payment Terms:</w:t>
      </w:r>
      <w:r>
        <w:t xml:space="preserve"> </w:t>
      </w:r>
      <w:r>
        <w:t xml:space="preserve">Net 30 days from the date of issue. Late payments are subject to a penalty of 1.5% per month in accordance with Italian commercial law (Codice Civile, Art. 1284). This Invoice must be settled in full by 15 July 2025 to avoid any additional charges.</w:t>
      </w:r>
    </w:p>
    <w:bookmarkEnd w:id="24"/>
    <w:bookmarkStart w:id="25" w:name="notes-terms"/>
    <w:p>
      <w:pPr>
        <w:pStyle w:val="Heading3"/>
      </w:pPr>
      <w:r>
        <w:t xml:space="preserve">Notes &amp; Terms</w:t>
      </w:r>
    </w:p>
    <w:p>
      <w:pPr>
        <w:pStyle w:val="FirstParagraph"/>
      </w:pPr>
      <w:r>
        <w:t xml:space="preserve">This Invoice is issued by HR Excellence Consulting S.r.l., a limited liability company registered in Milan, Italy, for professional Human Resources Manager services rendered to TechNova Industries S.p.A. during the period of 1 May 2025 through 31 May 2025.</w:t>
      </w:r>
    </w:p>
    <w:p>
      <w:pPr>
        <w:pStyle w:val="BodyText"/>
      </w:pPr>
      <w:r>
        <w:t xml:space="preserve">All services were performed by Dr. Francesca Moretti, a certified Human Resources Manager with over 15 years of experience in the Italy Milan business environment. The scope of work was defined in the Master Service Agreement (MSA) dated 1 January 2025, Contract Reference MSA-2025-0012.</w:t>
      </w:r>
    </w:p>
    <w:p>
      <w:pPr>
        <w:pStyle w:val="BodyText"/>
      </w:pPr>
      <w:r>
        <w:t xml:space="preserve">The Human Resources Manager confirms that all deliverables outlined in this Invoice have been completed and accepted by the client's designated representative. Any additional services or scope changes beyond the agreed terms will be subject to a separate Invoice and prior written authorization.</w:t>
      </w:r>
    </w:p>
    <w:p>
      <w:pPr>
        <w:pStyle w:val="BodyText"/>
      </w:pPr>
      <w:r>
        <w:t xml:space="preserve">This document constitutes a valid tax invoice (Fattura Elettronica) in compliance with the Italian electronic invoicing system (SdI – Sistema di Interscambio) as mandated by the Ministry of Economy and Finance. The electronic version of this Invoice has been transmitted via the SdI platform on 15 June 2025.</w:t>
      </w:r>
    </w:p>
    <w:p>
      <w:pPr>
        <w:pStyle w:val="BodyText"/>
      </w:pPr>
      <w:r>
        <w:t xml:space="preserve">For any queries regarding this Invoice, please contact the billing department at billing@hrexcellence-milano.it or by telephone at +39 02 8765 4321 during business hours (Monday to Friday, 09:00–18:00 CET).</w:t>
      </w:r>
    </w:p>
    <w:bookmarkEnd w:id="25"/>
    <w:p>
      <w:pPr>
        <w:pStyle w:val="BodyText"/>
      </w:pPr>
      <w:r>
        <w:rPr>
          <w:bCs/>
          <w:b/>
        </w:rPr>
        <w:t xml:space="preserve">HR Excellence Consulting S.r.l.</w:t>
      </w:r>
      <w:r>
        <w:t xml:space="preserve"> </w:t>
      </w:r>
      <w:r>
        <w:t xml:space="preserve">– Via Montenapoleone 42, 20121 Milan, Italy</w:t>
      </w:r>
    </w:p>
    <w:p>
      <w:pPr>
        <w:pStyle w:val="BodyText"/>
      </w:pPr>
      <w:r>
        <w:t xml:space="preserve">VAT (P.IVA): IT02458710963 | REA: MI-1234567 | Capital: €100,000 i.v.</w:t>
      </w:r>
    </w:p>
    <w:p>
      <w:pPr>
        <w:pStyle w:val="BodyText"/>
      </w:pPr>
      <w:r>
        <w:t xml:space="preserve">This Invoice was generated electronically and is valid without a physical signature in accordance with Italian digital document regulations (D.Lgs. 82/2005 – Codice dell'Amministrazione Digitale).</w:t>
      </w:r>
    </w:p>
    <w:p>
      <w:pPr>
        <w:pStyle w:val="BodyText"/>
      </w:pPr>
      <w:r>
        <w:t xml:space="preserve">Thank you for your business. We look forward to continuing our partnership in supporting your Human Resources objectives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Italy Milan</dc:title>
  <dc:creator/>
  <dc:language>en</dc:language>
  <cp:keywords/>
  <dcterms:created xsi:type="dcterms:W3CDTF">2026-10-10T07:31:19Z</dcterms:created>
  <dcterms:modified xsi:type="dcterms:W3CDTF">2026-10-10T07:31:19Z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