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hr-consulting-llc"/>
    <w:p>
      <w:pPr>
        <w:pStyle w:val="Heading1"/>
      </w:pPr>
      <w:r>
        <w:t xml:space="preserve">Al-Nakheel HR Consulting LLC</w:t>
      </w:r>
    </w:p>
    <w:p>
      <w:pPr>
        <w:pStyle w:val="FirstParagraph"/>
      </w:pPr>
      <w:r>
        <w:t xml:space="preserve">Office 412, Business Bay Tower</w:t>
      </w:r>
    </w:p>
    <w:p>
      <w:pPr>
        <w:pStyle w:val="BodyText"/>
      </w:pPr>
      <w:r>
        <w:t xml:space="preserve">Al-Salimiyah, Kuwait Kuwait City</w:t>
      </w:r>
    </w:p>
    <w:p>
      <w:pPr>
        <w:pStyle w:val="BodyText"/>
      </w:pPr>
      <w:r>
        <w:t xml:space="preserve">State of Kuwait</w:t>
      </w:r>
    </w:p>
    <w:p>
      <w:pPr>
        <w:pStyle w:val="BodyText"/>
      </w:pPr>
      <w:r>
        <w:t xml:space="preserve">Tel: +965 2244 5566 | Email: billing@alnakheelhr.kw</w:t>
      </w:r>
    </w:p>
    <w:p>
      <w:pPr>
        <w:pStyle w:val="BodyText"/>
      </w:pPr>
      <w:r>
        <w:t xml:space="preserve">Commercial Registration No: 118842-KW</w:t>
      </w:r>
    </w:p>
    <w:p>
      <w:pPr>
        <w:pStyle w:val="BodyText"/>
      </w:pPr>
      <w:r>
        <w:t xml:space="preserve">Professional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INV-2025-KW-00472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Kuwaiti Dinar (KWD)</w:t>
      </w:r>
    </w:p>
    <w:bookmarkEnd w:id="21"/>
    <w:bookmarkStart w:id="22" w:name="billed-to"/>
    <w:p>
      <w:pPr>
        <w:pStyle w:val="Heading3"/>
      </w:pPr>
      <w:r>
        <w:t xml:space="preserve">Billed To</w:t>
      </w:r>
    </w:p>
    <w:p>
      <w:pPr>
        <w:pStyle w:val="FirstParagraph"/>
      </w:pPr>
      <w:r>
        <w:rPr>
          <w:bCs/>
          <w:b/>
        </w:rPr>
        <w:t xml:space="preserve">Al-Rashid Industrial Group W.L.L.</w:t>
      </w:r>
    </w:p>
    <w:p>
      <w:pPr>
        <w:pStyle w:val="BodyText"/>
      </w:pPr>
      <w:r>
        <w:t xml:space="preserve">Attn: Mr. Faisal Al-Rashid, Chief Executive Officer</w:t>
      </w:r>
    </w:p>
    <w:p>
      <w:pPr>
        <w:pStyle w:val="BodyText"/>
      </w:pPr>
      <w:r>
        <w:t xml:space="preserve">Headquarters, Al-Rawda District</w:t>
      </w:r>
    </w:p>
    <w:p>
      <w:pPr>
        <w:pStyle w:val="BodyText"/>
      </w:pPr>
      <w:r>
        <w:t xml:space="preserve">Kuwait Kuwait City, State of Kuwait</w:t>
      </w:r>
    </w:p>
    <w:p>
      <w:pPr>
        <w:pStyle w:val="BodyText"/>
      </w:pPr>
      <w:r>
        <w:t xml:space="preserve">VAT No: KU-7721-4489-001</w:t>
      </w:r>
    </w:p>
    <w:p>
      <w:pPr>
        <w:pStyle w:val="BodyText"/>
      </w:pPr>
      <w:r>
        <w:t xml:space="preserve">Tel: +965 2478 9900</w:t>
      </w:r>
    </w:p>
    <w:bookmarkEnd w:id="22"/>
    <w:bookmarkStart w:id="23" w:name="service-provider"/>
    <w:p>
      <w:pPr>
        <w:pStyle w:val="Heading3"/>
      </w:pPr>
      <w:r>
        <w:t xml:space="preserve">Service Provider</w:t>
      </w:r>
    </w:p>
    <w:p>
      <w:pPr>
        <w:pStyle w:val="FirstParagraph"/>
      </w:pPr>
      <w:r>
        <w:rPr>
          <w:bCs/>
          <w:b/>
        </w:rPr>
        <w:t xml:space="preserve">Ms. Layla Al-Harbi</w:t>
      </w:r>
    </w:p>
    <w:p>
      <w:pPr>
        <w:pStyle w:val="BodyText"/>
      </w:pPr>
      <w:r>
        <w:t xml:space="preserve">Human Resources Manager</w:t>
      </w:r>
    </w:p>
    <w:p>
      <w:pPr>
        <w:pStyle w:val="BodyText"/>
      </w:pPr>
      <w:r>
        <w:t xml:space="preserve">Al-Nakheel HR Consulting LLC</w:t>
      </w:r>
    </w:p>
    <w:p>
      <w:pPr>
        <w:pStyle w:val="BodyText"/>
      </w:pPr>
      <w:r>
        <w:t xml:space="preserve">Al-Salimiyah, Kuwait Kuwait City</w:t>
      </w:r>
    </w:p>
    <w:p>
      <w:pPr>
        <w:pStyle w:val="BodyText"/>
      </w:pPr>
      <w:r>
        <w:t xml:space="preserve">Professional License No: HR-KW-2019-0347</w:t>
      </w:r>
    </w:p>
    <w:p>
      <w:pPr>
        <w:pStyle w:val="BodyText"/>
      </w:pPr>
      <w:r>
        <w:t xml:space="preserve">Ministry of Commerce &amp; Industry Registered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(KWD)</w:t>
            </w:r>
          </w:p>
        </w:tc>
        <w:tc>
          <w:tcPr/>
          <w:p>
            <w:pPr>
              <w:pStyle w:val="Compact"/>
              <w:jc w:val="left"/>
            </w:pPr>
            <w:r>
              <w:t xml:space="preserve">Hours</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Strategic workforce planning and organizational restructuring advisory provided by the Human Resources Manager for the Al-Rashid Industrial Group operations in Kuwait Kuwait City, including headcount analysis, role redesign, and succession mapping for 340 employees.</w:t>
            </w:r>
          </w:p>
        </w:tc>
        <w:tc>
          <w:tcPr/>
          <w:p>
            <w:pPr>
              <w:pStyle w:val="Compact"/>
              <w:jc w:val="left"/>
            </w:pPr>
            <w:r>
              <w:t xml:space="preserve">18.50</w:t>
            </w:r>
          </w:p>
        </w:tc>
        <w:tc>
          <w:tcPr/>
          <w:p>
            <w:pPr>
              <w:pStyle w:val="Compact"/>
              <w:jc w:val="left"/>
            </w:pPr>
            <w:r>
              <w:t xml:space="preserve">40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Design and implementation of a comprehensive employee performance management framework, including KPI development, quarterly review cycles, and calibration workshops conducted at the client's Kuwait Kuwait City headquarters.</w:t>
            </w:r>
          </w:p>
        </w:tc>
        <w:tc>
          <w:tcPr/>
          <w:p>
            <w:pPr>
              <w:pStyle w:val="Compact"/>
              <w:jc w:val="left"/>
            </w:pPr>
            <w:r>
              <w:t xml:space="preserve">18.50</w:t>
            </w:r>
          </w:p>
        </w:tc>
        <w:tc>
          <w:tcPr/>
          <w:p>
            <w:pPr>
              <w:pStyle w:val="Compact"/>
              <w:jc w:val="left"/>
            </w:pPr>
            <w:r>
              <w:t xml:space="preserve">32</w:t>
            </w:r>
          </w:p>
        </w:tc>
        <w:tc>
          <w:tcPr/>
          <w:p>
            <w:pPr>
              <w:pStyle w:val="Compact"/>
              <w:jc w:val="left"/>
            </w:pPr>
            <w:r>
              <w:t xml:space="preserve">592.00</w:t>
            </w:r>
          </w:p>
        </w:tc>
      </w:tr>
      <w:tr>
        <w:tc>
          <w:tcPr/>
          <w:p>
            <w:pPr>
              <w:pStyle w:val="Compact"/>
              <w:jc w:val="left"/>
            </w:pPr>
            <w:r>
              <w:t xml:space="preserve">3</w:t>
            </w:r>
          </w:p>
        </w:tc>
        <w:tc>
          <w:tcPr/>
          <w:p>
            <w:pPr>
              <w:pStyle w:val="Compact"/>
              <w:jc w:val="left"/>
            </w:pPr>
            <w:r>
              <w:t xml:space="preserve">Recruitment strategy development and executive search coordination for six senior leadership positions. The Human Resources Manager managed the full recruitment lifecycle, from job architecture to final candidate onboarding, in compliance with Kuwaiti labour law (Law No. 6 of 2010).</w:t>
            </w:r>
          </w:p>
        </w:tc>
        <w:tc>
          <w:tcPr/>
          <w:p>
            <w:pPr>
              <w:pStyle w:val="Compact"/>
              <w:jc w:val="left"/>
            </w:pPr>
            <w:r>
              <w:t xml:space="preserve">22.00</w:t>
            </w:r>
          </w:p>
        </w:tc>
        <w:tc>
          <w:tcPr/>
          <w:p>
            <w:pPr>
              <w:pStyle w:val="Compact"/>
              <w:jc w:val="left"/>
            </w:pPr>
            <w:r>
              <w:t xml:space="preserve">48</w:t>
            </w:r>
          </w:p>
        </w:tc>
        <w:tc>
          <w:tcPr/>
          <w:p>
            <w:pPr>
              <w:pStyle w:val="Compact"/>
              <w:jc w:val="left"/>
            </w:pPr>
            <w:r>
              <w:t xml:space="preserve">1,056.00</w:t>
            </w:r>
          </w:p>
        </w:tc>
      </w:tr>
      <w:tr>
        <w:tc>
          <w:tcPr/>
          <w:p>
            <w:pPr>
              <w:pStyle w:val="Compact"/>
              <w:jc w:val="left"/>
            </w:pPr>
            <w:r>
              <w:t xml:space="preserve">4</w:t>
            </w:r>
          </w:p>
        </w:tc>
        <w:tc>
          <w:tcPr/>
          <w:p>
            <w:pPr>
              <w:pStyle w:val="Compact"/>
              <w:jc w:val="left"/>
            </w:pPr>
            <w:r>
              <w:t xml:space="preserve">Employee relations and grievance resolution support. The Human Resources Manager conducted mediation sessions, drafted updated internal policies, and prepared a comprehensive employee handbook aligned with Kuwait Kuwait City regulatory requirements.</w:t>
            </w:r>
          </w:p>
        </w:tc>
        <w:tc>
          <w:tcPr/>
          <w:p>
            <w:pPr>
              <w:pStyle w:val="Compact"/>
              <w:jc w:val="left"/>
            </w:pPr>
            <w:r>
              <w:t xml:space="preserve">18.50</w:t>
            </w:r>
          </w:p>
        </w:tc>
        <w:tc>
          <w:tcPr/>
          <w:p>
            <w:pPr>
              <w:pStyle w:val="Compact"/>
              <w:jc w:val="left"/>
            </w:pPr>
            <w:r>
              <w:t xml:space="preserve">24</w:t>
            </w:r>
          </w:p>
        </w:tc>
        <w:tc>
          <w:tcPr/>
          <w:p>
            <w:pPr>
              <w:pStyle w:val="Compact"/>
              <w:jc w:val="left"/>
            </w:pPr>
            <w:r>
              <w:t xml:space="preserve">444.00</w:t>
            </w:r>
          </w:p>
        </w:tc>
      </w:tr>
      <w:tr>
        <w:tc>
          <w:tcPr/>
          <w:p>
            <w:pPr>
              <w:pStyle w:val="Compact"/>
              <w:jc w:val="left"/>
            </w:pPr>
            <w:r>
              <w:t xml:space="preserve">5</w:t>
            </w:r>
          </w:p>
        </w:tc>
        <w:tc>
          <w:tcPr/>
          <w:p>
            <w:pPr>
              <w:pStyle w:val="Compact"/>
              <w:jc w:val="left"/>
            </w:pPr>
            <w:r>
              <w:t xml:space="preserve">Compensation and benefits benchmarking study. The Human Resources Manager prepared a market salary survey report covering the Kuwait Kuwait City industrial sector, including recommendations for annual merit adjustments and benefits package optimization.</w:t>
            </w:r>
          </w:p>
        </w:tc>
        <w:tc>
          <w:tcPr/>
          <w:p>
            <w:pPr>
              <w:pStyle w:val="Compact"/>
              <w:jc w:val="left"/>
            </w:pPr>
            <w:r>
              <w:t xml:space="preserve">20.00</w:t>
            </w:r>
          </w:p>
        </w:tc>
        <w:tc>
          <w:tcPr/>
          <w:p>
            <w:pPr>
              <w:pStyle w:val="Compact"/>
              <w:jc w:val="left"/>
            </w:pPr>
            <w:r>
              <w:t xml:space="preserve">28</w:t>
            </w:r>
          </w:p>
        </w:tc>
        <w:tc>
          <w:tcPr/>
          <w:p>
            <w:pPr>
              <w:pStyle w:val="Compact"/>
              <w:jc w:val="left"/>
            </w:pPr>
            <w:r>
              <w:t xml:space="preserve">560.00</w:t>
            </w:r>
          </w:p>
        </w:tc>
      </w:tr>
      <w:tr>
        <w:tc>
          <w:tcPr/>
          <w:p>
            <w:pPr>
              <w:pStyle w:val="Compact"/>
              <w:jc w:val="left"/>
            </w:pPr>
            <w:r>
              <w:t xml:space="preserve">6</w:t>
            </w:r>
          </w:p>
        </w:tc>
        <w:tc>
          <w:tcPr/>
          <w:p>
            <w:pPr>
              <w:pStyle w:val="Compact"/>
              <w:jc w:val="left"/>
            </w:pPr>
            <w:r>
              <w:t xml:space="preserve">Training and development program design. The Human Resources Manager developed a 12-month learning roadmap, identified training vendors in Kuwait Kuwait City, and coordinated leadership development workshops for 45 middle and senior managers.</w:t>
            </w:r>
          </w:p>
        </w:tc>
        <w:tc>
          <w:tcPr/>
          <w:p>
            <w:pPr>
              <w:pStyle w:val="Compact"/>
              <w:jc w:val="left"/>
            </w:pPr>
            <w:r>
              <w:t xml:space="preserve">18.50</w:t>
            </w:r>
          </w:p>
        </w:tc>
        <w:tc>
          <w:tcPr/>
          <w:p>
            <w:pPr>
              <w:pStyle w:val="Compact"/>
              <w:jc w:val="left"/>
            </w:pPr>
            <w:r>
              <w:t xml:space="preserve">36</w:t>
            </w:r>
          </w:p>
        </w:tc>
        <w:tc>
          <w:tcPr/>
          <w:p>
            <w:pPr>
              <w:pStyle w:val="Compact"/>
              <w:jc w:val="left"/>
            </w:pPr>
            <w:r>
              <w:t xml:space="preserve">666.00</w:t>
            </w:r>
          </w:p>
        </w:tc>
      </w:tr>
      <w:tr>
        <w:tc>
          <w:tcPr/>
          <w:p>
            <w:pPr>
              <w:pStyle w:val="Compact"/>
              <w:jc w:val="left"/>
            </w:pPr>
            <w:r>
              <w:t xml:space="preserve">7</w:t>
            </w:r>
          </w:p>
        </w:tc>
        <w:tc>
          <w:tcPr/>
          <w:p>
            <w:pPr>
              <w:pStyle w:val="Compact"/>
              <w:jc w:val="left"/>
            </w:pPr>
            <w:r>
              <w:t xml:space="preserve">Monthly HR compliance reporting and regulatory liaison. The Human Resources Manager ensured all employment contracts, work permit renewals, and social insurance filings complied with the Ministry of Social Affairs and Labour directives applicable in Kuwait Kuwait City.</w:t>
            </w:r>
          </w:p>
        </w:tc>
        <w:tc>
          <w:tcPr/>
          <w:p>
            <w:pPr>
              <w:pStyle w:val="Compact"/>
              <w:jc w:val="left"/>
            </w:pPr>
            <w:r>
              <w:t xml:space="preserve">15.00</w:t>
            </w:r>
          </w:p>
        </w:tc>
        <w:tc>
          <w:tcPr/>
          <w:p>
            <w:pPr>
              <w:pStyle w:val="Compact"/>
              <w:jc w:val="left"/>
            </w:pPr>
            <w:r>
              <w:t xml:space="preserve">16</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4,298.00 KWD</w:t>
            </w:r>
          </w:p>
        </w:tc>
      </w:tr>
      <w:tr>
        <w:tc>
          <w:tcPr/>
          <w:p>
            <w:pPr>
              <w:pStyle w:val="Compact"/>
              <w:jc w:val="left"/>
            </w:pPr>
            <w:r>
              <w:t xml:space="preserve">VAT (5%)</w:t>
            </w:r>
          </w:p>
        </w:tc>
        <w:tc>
          <w:tcPr/>
          <w:p>
            <w:pPr>
              <w:pStyle w:val="Compact"/>
              <w:jc w:val="right"/>
            </w:pPr>
            <w:r>
              <w:t xml:space="preserve">214.90 KWD</w:t>
            </w:r>
          </w:p>
        </w:tc>
      </w:tr>
      <w:tr>
        <w:tc>
          <w:tcPr/>
          <w:p>
            <w:pPr>
              <w:pStyle w:val="Compact"/>
              <w:jc w:val="left"/>
            </w:pPr>
            <w:r>
              <w:t xml:space="preserve">Service Fee (2%)</w:t>
            </w:r>
          </w:p>
        </w:tc>
        <w:tc>
          <w:tcPr/>
          <w:p>
            <w:pPr>
              <w:pStyle w:val="Compact"/>
              <w:jc w:val="right"/>
            </w:pPr>
            <w:r>
              <w:t xml:space="preserve">85.96 KWD</w:t>
            </w:r>
          </w:p>
        </w:tc>
      </w:tr>
      <w:tr>
        <w:tc>
          <w:tcPr/>
          <w:p>
            <w:pPr>
              <w:pStyle w:val="Compact"/>
              <w:jc w:val="left"/>
            </w:pPr>
            <w:r>
              <w:t xml:space="preserve">TOTAL AMOUNT DUE</w:t>
            </w:r>
          </w:p>
        </w:tc>
        <w:tc>
          <w:tcPr/>
          <w:p>
            <w:pPr>
              <w:pStyle w:val="Compact"/>
              <w:jc w:val="right"/>
            </w:pPr>
            <w:r>
              <w:t xml:space="preserve">4,598.86 KWD</w:t>
            </w:r>
          </w:p>
        </w:tc>
      </w:tr>
    </w:tbl>
    <w:bookmarkStart w:id="24" w:name="payment-terms-and-instructions"/>
    <w:p>
      <w:pPr>
        <w:pStyle w:val="Heading3"/>
      </w:pPr>
      <w:r>
        <w:t xml:space="preserve">Payment Terms and Instructions</w:t>
      </w:r>
    </w:p>
    <w:p>
      <w:pPr>
        <w:pStyle w:val="FirstParagraph"/>
      </w:pPr>
      <w:r>
        <w:t xml:space="preserve">This Invoice is payable within fourteen (14) calendar days from the date of issue, no later than 30 June 2025. Payment shall be made via bank transfer to the following account:</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Al-Nakheel HR Consulting LLC</w:t>
      </w:r>
    </w:p>
    <w:p>
      <w:pPr>
        <w:pStyle w:val="BodyText"/>
      </w:pPr>
      <w:r>
        <w:rPr>
          <w:bCs/>
          <w:b/>
        </w:rPr>
        <w:t xml:space="preserve">Account Number:</w:t>
      </w:r>
      <w:r>
        <w:t xml:space="preserve"> </w:t>
      </w:r>
      <w:r>
        <w:t xml:space="preserve">0044-7721-8890-1123</w:t>
      </w:r>
    </w:p>
    <w:p>
      <w:pPr>
        <w:pStyle w:val="BodyText"/>
      </w:pPr>
      <w:r>
        <w:rPr>
          <w:bCs/>
          <w:b/>
        </w:rPr>
        <w:t xml:space="preserve">SWIFT Code:</w:t>
      </w:r>
      <w:r>
        <w:t xml:space="preserve"> </w:t>
      </w:r>
      <w:r>
        <w:t xml:space="preserve">NBKWKWKA</w:t>
      </w:r>
    </w:p>
    <w:p>
      <w:pPr>
        <w:pStyle w:val="BodyText"/>
      </w:pPr>
      <w:r>
        <w:rPr>
          <w:bCs/>
          <w:b/>
        </w:rPr>
        <w:t xml:space="preserve">Reference:</w:t>
      </w:r>
      <w:r>
        <w:t xml:space="preserve"> </w:t>
      </w:r>
      <w:r>
        <w:t xml:space="preserve">INV-2025-KW-00472</w:t>
      </w:r>
    </w:p>
    <w:p>
      <w:pPr>
        <w:pStyle w:val="BodyText"/>
      </w:pPr>
      <w:r>
        <w:t xml:space="preserve">Please note that a late payment penalty of 1.5% per month will be applied to any outstanding balance beyond the due date, in accordance with the service agreement signed on 01 March 2025 between the parties in Kuwait Kuwait City.</w:t>
      </w:r>
    </w:p>
    <w:bookmarkEnd w:id="24"/>
    <w:bookmarkStart w:id="25" w:name="notes-and-important-information"/>
    <w:p>
      <w:pPr>
        <w:pStyle w:val="Heading3"/>
      </w:pPr>
      <w:r>
        <w:t xml:space="preserve">Notes and Important Information</w:t>
      </w:r>
    </w:p>
    <w:p>
      <w:pPr>
        <w:pStyle w:val="FirstParagraph"/>
      </w:pPr>
      <w:r>
        <w:t xml:space="preserve">This Invoice has been prepared and issued by Al-Nakheel HR Consulting LLC, a licensed professional services firm operating in Kuwait Kuwait City. All services rendered by the Human Resources Manager, Ms. Layla Al-Harbi, were performed in full compliance with the Kuwaiti Labour Law, the Ministry of Commerce and Industry regulations, and the terms outlined in the Master Service Agreement (MSA-2025-0089) executed between both parties.</w:t>
      </w:r>
    </w:p>
    <w:p>
      <w:pPr>
        <w:pStyle w:val="BodyText"/>
      </w:pPr>
      <w:r>
        <w:t xml:space="preserve">The Human Resources Manager confirms that all deliverables referenced in this Invoice, including the workforce planning report, performance management framework, recruitment strategy document, employee handbook, compensation benchmarking study, and training roadmap, have been delivered to the client's designated representative at the Al-Rawda District office in Kuwait Kuwait City during the service period of May 2025.</w:t>
      </w:r>
    </w:p>
    <w:p>
      <w:pPr>
        <w:pStyle w:val="BodyText"/>
      </w:pPr>
      <w:r>
        <w:t xml:space="preserve">Should the client require any clarification regarding the line items, service descriptions, or calculations presented in this Invoice, please contact the billing department at billing@alnakheelhr.kw or by telephone at +965 2244 5566, extension 204, during business hours (Sunday through Thursday, 8:00 AM to 4:30 PM Kuwait Standard Time).</w:t>
      </w:r>
    </w:p>
    <w:p>
      <w:pPr>
        <w:pStyle w:val="BodyText"/>
      </w:pPr>
      <w:r>
        <w:t xml:space="preserve">This Invoice constitutes the final and complete statement of charges for the services rendered during the referenced period. No additional fees or costs are owed by the client for the May 2025 service cycle. Any future engagements or additional services will be invoiced separately with a new Invoice number.</w:t>
      </w:r>
    </w:p>
    <w:bookmarkEnd w:id="25"/>
    <w:p>
      <w:pPr>
        <w:pStyle w:val="BodyText"/>
      </w:pPr>
      <w:r>
        <w:rPr>
          <w:bCs/>
          <w:b/>
        </w:rPr>
        <w:t xml:space="preserve">Al-Nakheel HR Consulting LLC</w:t>
      </w:r>
      <w:r>
        <w:t xml:space="preserve"> </w:t>
      </w:r>
      <w:r>
        <w:t xml:space="preserve">| Office 412, Business Bay Tower, Al-Salimiyah, Kuwait Kuwait City, State of Kuwait</w:t>
      </w:r>
    </w:p>
    <w:p>
      <w:pPr>
        <w:pStyle w:val="BodyText"/>
      </w:pPr>
      <w:r>
        <w:t xml:space="preserve">Commercial Registration No: 118842-KW | VAT Registration No: KU-7721-4489-001</w:t>
      </w:r>
    </w:p>
    <w:p>
      <w:pPr>
        <w:pStyle w:val="BodyText"/>
      </w:pPr>
      <w:r>
        <w:t xml:space="preserve">This Invoice was generated electronically and is valid without a physical signature. For authentication, please verify the Invoice number against our records.</w:t>
      </w:r>
    </w:p>
    <w:p>
      <w:pPr>
        <w:pStyle w:val="BodyText"/>
      </w:pPr>
      <w:r>
        <w:t xml:space="preserve">© 2025 Al-Nakheel HR Consulting LLC. All rights reserved. This document is the property of the issuing entity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Kuwait Kuwait City</dc:title>
  <dc:creator/>
  <dc:language>en</dc:language>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