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hr-excellence-solutions-sdn.-bhd."/>
    <w:p>
      <w:pPr>
        <w:pStyle w:val="Heading1"/>
      </w:pPr>
      <w:r>
        <w:t xml:space="preserve">HR Excellence Solutions Sdn. Bhd.</w:t>
      </w:r>
    </w:p>
    <w:p>
      <w:pPr>
        <w:pStyle w:val="FirstParagraph"/>
      </w:pPr>
      <w:r>
        <w:t xml:space="preserve">Level 12, Menara KL, Jalan Sultan Ismail</w:t>
      </w:r>
    </w:p>
    <w:p>
      <w:pPr>
        <w:pStyle w:val="BodyText"/>
      </w:pPr>
      <w:r>
        <w:t xml:space="preserve">50250 Malaysia Kuala Lumpur, Wilayah Persekutuan</w:t>
      </w:r>
    </w:p>
    <w:p>
      <w:pPr>
        <w:pStyle w:val="BodyText"/>
      </w:pPr>
      <w:r>
        <w:t xml:space="preserve">Tel: +603-2145 6789 | Email: billing@hrexcellence.my</w:t>
      </w:r>
    </w:p>
    <w:p>
      <w:pPr>
        <w:pStyle w:val="BodyText"/>
      </w:pPr>
      <w:r>
        <w:t xml:space="preserve">Company Reg. No: 201901045678 (K)</w:t>
      </w:r>
    </w:p>
    <w:p>
      <w:pPr>
        <w:pStyle w:val="BodyText"/>
      </w:pPr>
      <w:r>
        <w:t xml:space="preserve">FRP No: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INV-2025-KL-00847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UNPAID</w:t>
      </w:r>
    </w:p>
    <w:bookmarkEnd w:id="21"/>
    <w:bookmarkStart w:id="22" w:name="bill-to"/>
    <w:p>
      <w:pPr>
        <w:pStyle w:val="Heading3"/>
      </w:pPr>
      <w:r>
        <w:t xml:space="preserve">Bill To</w:t>
      </w:r>
    </w:p>
    <w:p>
      <w:pPr>
        <w:pStyle w:val="FirstParagraph"/>
      </w:pPr>
      <w:r>
        <w:rPr>
          <w:bCs/>
          <w:b/>
        </w:rPr>
        <w:t xml:space="preserve">TechNova Industries (M) Sdn. Bhd.</w:t>
      </w:r>
    </w:p>
    <w:p>
      <w:pPr>
        <w:pStyle w:val="BodyText"/>
      </w:pPr>
      <w:r>
        <w:t xml:space="preserve">Attn: Mr. Rajesh Kumar, Chief Executive Officer</w:t>
      </w:r>
    </w:p>
    <w:p>
      <w:pPr>
        <w:pStyle w:val="BodyText"/>
      </w:pPr>
      <w:r>
        <w:t xml:space="preserve">Level 8, Sunway Pyramid Office Tower</w:t>
      </w:r>
    </w:p>
    <w:p>
      <w:pPr>
        <w:pStyle w:val="BodyText"/>
      </w:pPr>
      <w:r>
        <w:t xml:space="preserve">Jalan PJS 11/15, Bandar Sunway</w:t>
      </w:r>
    </w:p>
    <w:p>
      <w:pPr>
        <w:pStyle w:val="BodyText"/>
      </w:pPr>
      <w:r>
        <w:t xml:space="preserve">47500 Subang Jaya, Selangor Darul Ehsan</w:t>
      </w:r>
    </w:p>
    <w:p>
      <w:pPr>
        <w:pStyle w:val="BodyText"/>
      </w:pPr>
      <w:r>
        <w:t xml:space="preserve">Tel: +603-8068 1234</w:t>
      </w:r>
    </w:p>
    <w:p>
      <w:pPr>
        <w:pStyle w:val="BodyText"/>
      </w:pPr>
      <w:r>
        <w:t xml:space="preserve">Email: finance@technova.my</w:t>
      </w:r>
    </w:p>
    <w:bookmarkEnd w:id="22"/>
    <w:bookmarkStart w:id="23" w:name="service-provider"/>
    <w:p>
      <w:pPr>
        <w:pStyle w:val="Heading3"/>
      </w:pPr>
      <w:r>
        <w:t xml:space="preserve">Service Provider</w:t>
      </w:r>
    </w:p>
    <w:p>
      <w:pPr>
        <w:pStyle w:val="FirstParagraph"/>
      </w:pPr>
      <w:r>
        <w:rPr>
          <w:bCs/>
          <w:b/>
        </w:rPr>
        <w:t xml:space="preserve">HR Excellence Solutions Sdn. Bhd.</w:t>
      </w:r>
    </w:p>
    <w:p>
      <w:pPr>
        <w:pStyle w:val="BodyText"/>
      </w:pPr>
      <w:r>
        <w:t xml:space="preserve">Lead Consultant: Ms. Aisyah binti Rahman</w:t>
      </w:r>
    </w:p>
    <w:p>
      <w:pPr>
        <w:pStyle w:val="BodyText"/>
      </w:pPr>
      <w:r>
        <w:t xml:space="preserve">Designation: Human Resources Manager</w:t>
      </w:r>
    </w:p>
    <w:p>
      <w:pPr>
        <w:pStyle w:val="BodyText"/>
      </w:pPr>
      <w:r>
        <w:t xml:space="preserve">Professional ID: HRM-MY-2021-00452</w:t>
      </w:r>
    </w:p>
    <w:p>
      <w:pPr>
        <w:pStyle w:val="BodyText"/>
      </w:pPr>
      <w:r>
        <w:t xml:space="preserve">Specialization: Strategic HR &amp; Organizational Development</w:t>
      </w:r>
    </w:p>
    <w:p>
      <w:pPr>
        <w:pStyle w:val="BodyText"/>
      </w:pPr>
      <w:r>
        <w:t xml:space="preserve">Service Location: Malaysia Kuala Lumpur</w:t>
      </w:r>
    </w:p>
    <w:p>
      <w:pPr>
        <w:pStyle w:val="BodyText"/>
      </w:pPr>
      <w:r>
        <w:t xml:space="preserve">Engagement Ref: ENG-2025-Q2-0031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(MYR)</w:t>
            </w:r>
          </w:p>
        </w:tc>
        <w:tc>
          <w:tcPr/>
          <w:p>
            <w:pPr>
              <w:pStyle w:val="Compact"/>
              <w:jc w:val="left"/>
            </w:pPr>
            <w:r>
              <w:t xml:space="preserve">Qty / Hours</w:t>
            </w:r>
          </w:p>
        </w:tc>
        <w:tc>
          <w:tcPr/>
          <w:p>
            <w:pPr>
              <w:pStyle w:val="Compact"/>
              <w:jc w:val="left"/>
            </w:pPr>
            <w:r>
              <w:t xml:space="preserve">Amount (MYR)</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Strategic Workforce Planning &amp; Organizational Restructuring Advisory by Human Resources Manager</w:t>
            </w:r>
          </w:p>
        </w:tc>
        <w:tc>
          <w:tcPr/>
          <w:p>
            <w:pPr>
              <w:pStyle w:val="Compact"/>
              <w:jc w:val="left"/>
            </w:pPr>
            <w:r>
              <w:t xml:space="preserve">450.00</w:t>
            </w:r>
          </w:p>
        </w:tc>
        <w:tc>
          <w:tcPr/>
          <w:p>
            <w:pPr>
              <w:pStyle w:val="Compact"/>
              <w:jc w:val="left"/>
            </w:pPr>
            <w:r>
              <w:t xml:space="preserve">40 hrs</w:t>
            </w:r>
          </w:p>
        </w:tc>
        <w:tc>
          <w:tcPr/>
          <w:p>
            <w:pPr>
              <w:pStyle w:val="Compact"/>
              <w:jc w:val="left"/>
            </w:pPr>
            <w:r>
              <w:t xml:space="preserve">18,000.00</w:t>
            </w:r>
          </w:p>
        </w:tc>
        <w:tc>
          <w:tcPr/>
          <w:p>
            <w:pPr>
              <w:pStyle w:val="Compact"/>
              <w:jc w:val="left"/>
            </w:pPr>
            <w:r>
              <w:t xml:space="preserve">Jan – Mar 2025</w:t>
            </w:r>
          </w:p>
        </w:tc>
      </w:tr>
      <w:tr>
        <w:tc>
          <w:tcPr/>
          <w:p>
            <w:pPr>
              <w:pStyle w:val="Compact"/>
              <w:jc w:val="left"/>
            </w:pPr>
            <w:r>
              <w:t xml:space="preserve">02</w:t>
            </w:r>
          </w:p>
        </w:tc>
        <w:tc>
          <w:tcPr/>
          <w:p>
            <w:pPr>
              <w:pStyle w:val="Compact"/>
              <w:jc w:val="left"/>
            </w:pPr>
            <w:r>
              <w:t xml:space="preserve">Employee Recruitment &amp; Talent Acquisition Program Management (Malaysia Kuala Lumpur office expansion)</w:t>
            </w:r>
          </w:p>
        </w:tc>
        <w:tc>
          <w:tcPr/>
          <w:p>
            <w:pPr>
              <w:pStyle w:val="Compact"/>
              <w:jc w:val="left"/>
            </w:pPr>
            <w:r>
              <w:t xml:space="preserve">380.00</w:t>
            </w:r>
          </w:p>
        </w:tc>
        <w:tc>
          <w:tcPr/>
          <w:p>
            <w:pPr>
              <w:pStyle w:val="Compact"/>
              <w:jc w:val="left"/>
            </w:pPr>
            <w:r>
              <w:t xml:space="preserve">32 hrs</w:t>
            </w:r>
          </w:p>
        </w:tc>
        <w:tc>
          <w:tcPr/>
          <w:p>
            <w:pPr>
              <w:pStyle w:val="Compact"/>
              <w:jc w:val="left"/>
            </w:pPr>
            <w:r>
              <w:t xml:space="preserve">12,160.00</w:t>
            </w:r>
          </w:p>
        </w:tc>
        <w:tc>
          <w:tcPr/>
          <w:p>
            <w:pPr>
              <w:pStyle w:val="Compact"/>
              <w:jc w:val="left"/>
            </w:pPr>
            <w:r>
              <w:t xml:space="preserve">Feb – Apr 2025</w:t>
            </w:r>
          </w:p>
        </w:tc>
      </w:tr>
      <w:tr>
        <w:tc>
          <w:tcPr/>
          <w:p>
            <w:pPr>
              <w:pStyle w:val="Compact"/>
              <w:jc w:val="left"/>
            </w:pPr>
            <w:r>
              <w:t xml:space="preserve">03</w:t>
            </w:r>
          </w:p>
        </w:tc>
        <w:tc>
          <w:tcPr/>
          <w:p>
            <w:pPr>
              <w:pStyle w:val="Compact"/>
              <w:jc w:val="left"/>
            </w:pPr>
            <w:r>
              <w:t xml:space="preserve">Performance Management System Design &amp; Implementation Oversight</w:t>
            </w:r>
          </w:p>
        </w:tc>
        <w:tc>
          <w:tcPr/>
          <w:p>
            <w:pPr>
              <w:pStyle w:val="Compact"/>
              <w:jc w:val="left"/>
            </w:pPr>
            <w:r>
              <w:t xml:space="preserve">420.00</w:t>
            </w:r>
          </w:p>
        </w:tc>
        <w:tc>
          <w:tcPr/>
          <w:p>
            <w:pPr>
              <w:pStyle w:val="Compact"/>
              <w:jc w:val="left"/>
            </w:pPr>
            <w:r>
              <w:t xml:space="preserve">28 hrs</w:t>
            </w:r>
          </w:p>
        </w:tc>
        <w:tc>
          <w:tcPr/>
          <w:p>
            <w:pPr>
              <w:pStyle w:val="Compact"/>
              <w:jc w:val="left"/>
            </w:pPr>
            <w:r>
              <w:t xml:space="preserve">11,760.00</w:t>
            </w:r>
          </w:p>
        </w:tc>
        <w:tc>
          <w:tcPr/>
          <w:p>
            <w:pPr>
              <w:pStyle w:val="Compact"/>
              <w:jc w:val="left"/>
            </w:pPr>
            <w:r>
              <w:t xml:space="preserve">Mar – May 2025</w:t>
            </w:r>
          </w:p>
        </w:tc>
      </w:tr>
      <w:tr>
        <w:tc>
          <w:tcPr/>
          <w:p>
            <w:pPr>
              <w:pStyle w:val="Compact"/>
              <w:jc w:val="left"/>
            </w:pPr>
            <w:r>
              <w:t xml:space="preserve">04</w:t>
            </w:r>
          </w:p>
        </w:tc>
        <w:tc>
          <w:tcPr/>
          <w:p>
            <w:pPr>
              <w:pStyle w:val="Compact"/>
              <w:jc w:val="left"/>
            </w:pPr>
            <w:r>
              <w:t xml:space="preserve">Employee Relations &amp; Labour Compliance Audit (Employment Act 1955, EIS, EPF, SOCSO)</w:t>
            </w:r>
          </w:p>
        </w:tc>
        <w:tc>
          <w:tcPr/>
          <w:p>
            <w:pPr>
              <w:pStyle w:val="Compact"/>
              <w:jc w:val="left"/>
            </w:pPr>
            <w:r>
              <w:t xml:space="preserve">350.00</w:t>
            </w:r>
          </w:p>
        </w:tc>
        <w:tc>
          <w:tcPr/>
          <w:p>
            <w:pPr>
              <w:pStyle w:val="Compact"/>
              <w:jc w:val="left"/>
            </w:pPr>
            <w:r>
              <w:t xml:space="preserve">24 hrs</w:t>
            </w:r>
          </w:p>
        </w:tc>
        <w:tc>
          <w:tcPr/>
          <w:p>
            <w:pPr>
              <w:pStyle w:val="Compact"/>
              <w:jc w:val="left"/>
            </w:pPr>
            <w:r>
              <w:t xml:space="preserve">8,400.00</w:t>
            </w:r>
          </w:p>
        </w:tc>
        <w:tc>
          <w:tcPr/>
          <w:p>
            <w:pPr>
              <w:pStyle w:val="Compact"/>
              <w:jc w:val="left"/>
            </w:pPr>
            <w:r>
              <w:t xml:space="preserve">Apr – May 2025</w:t>
            </w:r>
          </w:p>
        </w:tc>
      </w:tr>
      <w:tr>
        <w:tc>
          <w:tcPr/>
          <w:p>
            <w:pPr>
              <w:pStyle w:val="Compact"/>
              <w:jc w:val="left"/>
            </w:pPr>
            <w:r>
              <w:t xml:space="preserve">05</w:t>
            </w:r>
          </w:p>
        </w:tc>
        <w:tc>
          <w:tcPr/>
          <w:p>
            <w:pPr>
              <w:pStyle w:val="Compact"/>
              <w:jc w:val="left"/>
            </w:pPr>
            <w:r>
              <w:t xml:space="preserve">Training &amp; Development Program Coordination for 120 Staff (Malaysia Kuala Lumpur HQ)</w:t>
            </w:r>
          </w:p>
        </w:tc>
        <w:tc>
          <w:tcPr/>
          <w:p>
            <w:pPr>
              <w:pStyle w:val="Compact"/>
              <w:jc w:val="left"/>
            </w:pPr>
            <w:r>
              <w:t xml:space="preserve">300.00</w:t>
            </w:r>
          </w:p>
        </w:tc>
        <w:tc>
          <w:tcPr/>
          <w:p>
            <w:pPr>
              <w:pStyle w:val="Compact"/>
              <w:jc w:val="left"/>
            </w:pPr>
            <w:r>
              <w:t xml:space="preserve">36 hrs</w:t>
            </w:r>
          </w:p>
        </w:tc>
        <w:tc>
          <w:tcPr/>
          <w:p>
            <w:pPr>
              <w:pStyle w:val="Compact"/>
              <w:jc w:val="left"/>
            </w:pPr>
            <w:r>
              <w:t xml:space="preserve">10,800.00</w:t>
            </w:r>
          </w:p>
        </w:tc>
        <w:tc>
          <w:tcPr/>
          <w:p>
            <w:pPr>
              <w:pStyle w:val="Compact"/>
              <w:jc w:val="left"/>
            </w:pPr>
            <w:r>
              <w:t xml:space="preserve">May – Jun 2025</w:t>
            </w:r>
          </w:p>
        </w:tc>
      </w:tr>
      <w:tr>
        <w:tc>
          <w:tcPr/>
          <w:p>
            <w:pPr>
              <w:pStyle w:val="Compact"/>
              <w:jc w:val="left"/>
            </w:pPr>
            <w:r>
              <w:t xml:space="preserve">06</w:t>
            </w:r>
          </w:p>
        </w:tc>
        <w:tc>
          <w:tcPr/>
          <w:p>
            <w:pPr>
              <w:pStyle w:val="Compact"/>
              <w:jc w:val="left"/>
            </w:pPr>
            <w:r>
              <w:t xml:space="preserve">HR Policy Review &amp; Employee Handbook Revision (Bilingual: English &amp; Bahasa Malaysia)</w:t>
            </w:r>
          </w:p>
        </w:tc>
        <w:tc>
          <w:tcPr/>
          <w:p>
            <w:pPr>
              <w:pStyle w:val="Compact"/>
              <w:jc w:val="left"/>
            </w:pPr>
            <w:r>
              <w:t xml:space="preserve">400.00</w:t>
            </w:r>
          </w:p>
        </w:tc>
        <w:tc>
          <w:tcPr/>
          <w:p>
            <w:pPr>
              <w:pStyle w:val="Compact"/>
              <w:jc w:val="left"/>
            </w:pPr>
            <w:r>
              <w:t xml:space="preserve">20 hrs</w:t>
            </w:r>
          </w:p>
        </w:tc>
        <w:tc>
          <w:tcPr/>
          <w:p>
            <w:pPr>
              <w:pStyle w:val="Compact"/>
              <w:jc w:val="left"/>
            </w:pPr>
            <w:r>
              <w:t xml:space="preserve">8,000.00</w:t>
            </w:r>
          </w:p>
        </w:tc>
        <w:tc>
          <w:tcPr/>
          <w:p>
            <w:pPr>
              <w:pStyle w:val="Compact"/>
              <w:jc w:val="left"/>
            </w:pPr>
            <w:r>
              <w:t xml:space="preserve">Jun 2025</w:t>
            </w:r>
          </w:p>
        </w:tc>
      </w:tr>
      <w:tr>
        <w:tc>
          <w:tcPr/>
          <w:p>
            <w:pPr>
              <w:pStyle w:val="Compact"/>
              <w:jc w:val="left"/>
            </w:pPr>
            <w:r>
              <w:t xml:space="preserve">07</w:t>
            </w:r>
          </w:p>
        </w:tc>
        <w:tc>
          <w:tcPr/>
          <w:p>
            <w:pPr>
              <w:pStyle w:val="Compact"/>
              <w:jc w:val="left"/>
            </w:pPr>
            <w:r>
              <w:t xml:space="preserve">Monthly HR Advisory Retainer – Ongoing Consultation by Human Resources Manager</w:t>
            </w:r>
          </w:p>
        </w:tc>
        <w:tc>
          <w:tcPr/>
          <w:p>
            <w:pPr>
              <w:pStyle w:val="Compact"/>
              <w:jc w:val="left"/>
            </w:pPr>
            <w:r>
              <w:t xml:space="preserve">5,500.00</w:t>
            </w:r>
          </w:p>
        </w:tc>
        <w:tc>
          <w:tcPr/>
          <w:p>
            <w:pPr>
              <w:pStyle w:val="Compact"/>
              <w:jc w:val="left"/>
            </w:pPr>
            <w:r>
              <w:t xml:space="preserve">3 months</w:t>
            </w:r>
          </w:p>
        </w:tc>
        <w:tc>
          <w:tcPr/>
          <w:p>
            <w:pPr>
              <w:pStyle w:val="Compact"/>
              <w:jc w:val="left"/>
            </w:pPr>
            <w:r>
              <w:t xml:space="preserve">16,500.00</w:t>
            </w:r>
          </w:p>
        </w:tc>
        <w:tc>
          <w:tcPr/>
          <w:p>
            <w:pPr>
              <w:pStyle w:val="Compact"/>
              <w:jc w:val="left"/>
            </w:pPr>
            <w:r>
              <w:t xml:space="preserve">Apr –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85,620.00</w:t>
            </w:r>
          </w:p>
        </w:tc>
      </w:tr>
      <w:tr>
        <w:tc>
          <w:tcPr/>
          <w:p>
            <w:pPr>
              <w:pStyle w:val="Compact"/>
              <w:jc w:val="left"/>
            </w:pPr>
            <w:r>
              <w:t xml:space="preserve">SST @ 6% (Sales &amp; Service Tax)</w:t>
            </w:r>
          </w:p>
        </w:tc>
        <w:tc>
          <w:tcPr/>
          <w:p>
            <w:pPr>
              <w:pStyle w:val="Compact"/>
              <w:jc w:val="left"/>
            </w:pPr>
            <w:r>
              <w:t xml:space="preserve">RM 5,137.20</w:t>
            </w:r>
          </w:p>
        </w:tc>
      </w:tr>
      <w:tr>
        <w:tc>
          <w:tcPr/>
          <w:p>
            <w:pPr>
              <w:pStyle w:val="Compact"/>
              <w:jc w:val="left"/>
            </w:pPr>
            <w:r>
              <w:t xml:space="preserve">Travel &amp; Local Transport (Malaysia Kuala Lumpur)</w:t>
            </w:r>
          </w:p>
        </w:tc>
        <w:tc>
          <w:tcPr/>
          <w:p>
            <w:pPr>
              <w:pStyle w:val="Compact"/>
              <w:jc w:val="left"/>
            </w:pPr>
            <w:r>
              <w:t xml:space="preserve">RM 1,250.00</w:t>
            </w:r>
          </w:p>
        </w:tc>
      </w:tr>
      <w:tr>
        <w:tc>
          <w:tcPr/>
          <w:p>
            <w:pPr>
              <w:pStyle w:val="Compact"/>
              <w:jc w:val="left"/>
            </w:pPr>
            <w:r>
              <w:t xml:space="preserve">Discount (Early Payment – 2%)</w:t>
            </w:r>
          </w:p>
        </w:tc>
        <w:tc>
          <w:tcPr/>
          <w:p>
            <w:pPr>
              <w:pStyle w:val="Compact"/>
              <w:jc w:val="left"/>
            </w:pPr>
            <w:r>
              <w:t xml:space="preserve">- RM 1,712.40</w:t>
            </w:r>
          </w:p>
        </w:tc>
      </w:tr>
      <w:tr>
        <w:tc>
          <w:tcPr/>
          <w:p>
            <w:pPr>
              <w:pStyle w:val="Compact"/>
              <w:jc w:val="left"/>
            </w:pPr>
            <w:r>
              <w:t xml:space="preserve">GRAND TOTAL DUE</w:t>
            </w:r>
          </w:p>
        </w:tc>
        <w:tc>
          <w:tcPr/>
          <w:p>
            <w:pPr>
              <w:pStyle w:val="Compact"/>
              <w:jc w:val="left"/>
            </w:pPr>
            <w:r>
              <w:t xml:space="preserve">RM 90,294.80</w:t>
            </w:r>
          </w:p>
        </w:tc>
      </w:tr>
    </w:tbl>
    <w:bookmarkStart w:id="24" w:name="invoice-notes-payment-instructions"/>
    <w:p>
      <w:pPr>
        <w:pStyle w:val="Heading3"/>
      </w:pPr>
      <w:r>
        <w:t xml:space="preserve">Invoice Notes &amp; Payment Instructions</w:t>
      </w:r>
    </w:p>
    <w:p>
      <w:pPr>
        <w:pStyle w:val="FirstParagraph"/>
      </w:pPr>
      <w:r>
        <w:t xml:space="preserve">This Invoice is issued by HR Excellence Solutions Sdn. Bhd., a registered professional services firm operating in Malaysia Kuala Lumpur, in accordance with the engagement contract dated 10 January 2025. All services were rendered by our qualified Human Resources Manager, Ms. Aisyah binti Rahman, who holds over 15 years of experience in strategic human capital management within the Malaysian corporate landscape.</w:t>
      </w:r>
    </w:p>
    <w:p>
      <w:pPr>
        <w:numPr>
          <w:ilvl w:val="0"/>
          <w:numId w:val="1001"/>
        </w:numPr>
        <w:pStyle w:val="Compact"/>
      </w:pPr>
      <w:r>
        <w:rPr>
          <w:bCs/>
          <w:b/>
        </w:rPr>
        <w:t xml:space="preserve">Payment Method:</w:t>
      </w:r>
      <w:r>
        <w:t xml:space="preserve"> </w:t>
      </w:r>
      <w:r>
        <w:t xml:space="preserve">Bank Transfer (Transfer) to Maybank Account No. 5123-4567-8901, Account Name: HR Excellence Solutions Sdn. Bhd., SWIFT Code: MBBEMYKL.</w:t>
      </w:r>
    </w:p>
    <w:p>
      <w:pPr>
        <w:numPr>
          <w:ilvl w:val="0"/>
          <w:numId w:val="1001"/>
        </w:numPr>
        <w:pStyle w:val="Compact"/>
      </w:pPr>
      <w:r>
        <w:rPr>
          <w:bCs/>
          <w:b/>
        </w:rPr>
        <w:t xml:space="preserve">Payment Reference:</w:t>
      </w:r>
      <w:r>
        <w:t xml:space="preserve"> </w:t>
      </w:r>
      <w:r>
        <w:t xml:space="preserve">Please quote Invoice No. INV-2025-KL-00847 in all correspondence and remittances.</w:t>
      </w:r>
    </w:p>
    <w:p>
      <w:pPr>
        <w:numPr>
          <w:ilvl w:val="0"/>
          <w:numId w:val="1001"/>
        </w:numPr>
        <w:pStyle w:val="Compact"/>
      </w:pPr>
      <w:r>
        <w:rPr>
          <w:bCs/>
          <w:b/>
        </w:rPr>
        <w:t xml:space="preserve">Due Date:</w:t>
      </w:r>
      <w:r>
        <w:t xml:space="preserve"> </w:t>
      </w:r>
      <w:r>
        <w:t xml:space="preserve">Full payment is due within 30 calendar days from the date of this Invoice, i.e., on or before 15 July 2025.</w:t>
      </w:r>
    </w:p>
    <w:p>
      <w:pPr>
        <w:numPr>
          <w:ilvl w:val="0"/>
          <w:numId w:val="1001"/>
        </w:numPr>
        <w:pStyle w:val="Compact"/>
      </w:pPr>
      <w:r>
        <w:rPr>
          <w:bCs/>
          <w:b/>
        </w:rPr>
        <w:t xml:space="preserve">Late Payment:</w:t>
      </w:r>
      <w:r>
        <w:t xml:space="preserve"> </w:t>
      </w:r>
      <w:r>
        <w:t xml:space="preserve">A late payment surcharge of 2% per month (or the maximum rate permitted under Malaysian law) shall apply to any outstanding balance after the due date.</w:t>
      </w:r>
    </w:p>
    <w:p>
      <w:pPr>
        <w:numPr>
          <w:ilvl w:val="0"/>
          <w:numId w:val="1001"/>
        </w:numPr>
        <w:pStyle w:val="Compact"/>
      </w:pPr>
      <w:r>
        <w:rPr>
          <w:bCs/>
          <w:b/>
        </w:rPr>
        <w:t xml:space="preserve">Tax Compliance:</w:t>
      </w:r>
      <w:r>
        <w:t xml:space="preserve"> </w:t>
      </w:r>
      <w:r>
        <w:t xml:space="preserve">SST has been applied at the prevailing rate of 6% as mandated by the Royal Malaysian Customs Department. This Invoice is issued in compliance with the Inland Revenue Board of Malaysia (LHDN) e-Invoice guidelines effective 1 July 2025.</w:t>
      </w:r>
    </w:p>
    <w:p>
      <w:pPr>
        <w:numPr>
          <w:ilvl w:val="0"/>
          <w:numId w:val="1001"/>
        </w:numPr>
        <w:pStyle w:val="Compact"/>
      </w:pPr>
      <w:r>
        <w:rPr>
          <w:bCs/>
          <w:b/>
        </w:rPr>
        <w:t xml:space="preserve">Disputes:</w:t>
      </w:r>
      <w:r>
        <w:t xml:space="preserve"> </w:t>
      </w:r>
      <w:r>
        <w:t xml:space="preserve">Any discrepancies regarding this Invoice must be raised in writing within 14 days of receipt. Please contact our billing department at billing@hrexcellence.my.</w:t>
      </w:r>
    </w:p>
    <w:p>
      <w:pPr>
        <w:numPr>
          <w:ilvl w:val="0"/>
          <w:numId w:val="1001"/>
        </w:numPr>
        <w:pStyle w:val="Compact"/>
      </w:pPr>
      <w:r>
        <w:rPr>
          <w:bCs/>
          <w:b/>
        </w:rPr>
        <w:t xml:space="preserve">Service Location:</w:t>
      </w:r>
      <w:r>
        <w:t xml:space="preserve"> </w:t>
      </w:r>
      <w:r>
        <w:t xml:space="preserve">All on-site services referenced in this Invoice were conducted at the client's premises in Malaysia Kuala Lumpur and surrounding areas as per the approved work schedule.</w:t>
      </w:r>
    </w:p>
    <w:p>
      <w:pPr>
        <w:pStyle w:val="FirstParagraph"/>
      </w:pPr>
      <w:r>
        <w:t xml:space="preserve">We thank TechNova Industries (M) Sdn. Bhd. for entrusting our Human Resources Manager with the critical task of strengthening your organizational capabilities. HR Excellence Solutions Sdn. Bhd. is committed to delivering world-class human resources consultancy services tailored to the unique needs of businesses operating in Malaysia Kuala Lumpur and beyond.</w:t>
      </w:r>
    </w:p>
    <w:bookmarkEnd w:id="24"/>
    <w:p>
      <w:pPr>
        <w:pStyle w:val="BodyText"/>
      </w:pPr>
      <w:r>
        <w:rPr>
          <w:bCs/>
          <w:b/>
        </w:rPr>
        <w:t xml:space="preserve">HR Excellence Solutions Sdn. Bhd.</w:t>
      </w:r>
      <w:r>
        <w:t xml:space="preserve"> </w:t>
      </w:r>
      <w:r>
        <w:t xml:space="preserve">| Level 12, Menara KL, Jalan Sultan Ismail, 50250 Malaysia Kuala Lumpur</w:t>
      </w:r>
    </w:p>
    <w:p>
      <w:pPr>
        <w:pStyle w:val="BodyText"/>
      </w:pPr>
      <w:r>
        <w:t xml:space="preserve">Company Registration No: 201901045678 (K) | SST Registration No: 001234567890</w:t>
      </w:r>
    </w:p>
    <w:p>
      <w:pPr>
        <w:pStyle w:val="BodyText"/>
      </w:pPr>
      <w:r>
        <w:t xml:space="preserve">This is a computer-generated Invoice and does not require a physical signature. For queries, please contact our finance team at +603-2145 6789.</w:t>
      </w:r>
    </w:p>
    <w:p>
      <w:pPr>
        <w:pStyle w:val="BodyText"/>
      </w:pPr>
      <w:r>
        <w:t xml:space="preserve">© 2025 HR Excellence Solutions Sdn. Bhd.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Malaysia Kuala Lumpur</dc:title>
  <dc:creator/>
  <dc:language>en</dc:language>
  <cp:keywords/>
  <dcterms:created xsi:type="dcterms:W3CDTF">2026-10-10T05:50:17Z</dcterms:created>
  <dcterms:modified xsi:type="dcterms:W3CDTF">2026-10-10T05:50:17Z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