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talent-solutions-b.v."/>
    <w:p>
      <w:pPr>
        <w:pStyle w:val="Heading1"/>
      </w:pPr>
      <w:r>
        <w:t xml:space="preserve">Amsterdam Talent Solutions B.V.</w:t>
      </w:r>
    </w:p>
    <w:p>
      <w:pPr>
        <w:pStyle w:val="FirstParagraph"/>
      </w:pPr>
      <w:r>
        <w:t xml:space="preserve">Keizersgracht 452, 1016 GD Amsterdam</w:t>
      </w:r>
    </w:p>
    <w:p>
      <w:pPr>
        <w:pStyle w:val="BodyText"/>
      </w:pPr>
      <w:r>
        <w:t xml:space="preserve">Netherlands Amsterdam, The Netherlands</w:t>
      </w:r>
    </w:p>
    <w:p>
      <w:pPr>
        <w:pStyle w:val="BodyText"/>
      </w:pPr>
      <w:r>
        <w:t xml:space="preserve">KvK: 87654321 | BTW: NL867543212B01</w:t>
      </w:r>
    </w:p>
    <w:p>
      <w:pPr>
        <w:pStyle w:val="BodyText"/>
      </w:pPr>
      <w:r>
        <w:t xml:space="preserve">info@amsterdamtalentsolutions.nl | +31 20 123 4567</w:t>
      </w:r>
    </w:p>
    <w:bookmarkEnd w:id="20"/>
    <w:bookmarkStart w:id="21" w:name="invoice"/>
    <w:p>
      <w:pPr>
        <w:pStyle w:val="Heading2"/>
      </w:pPr>
      <w:r>
        <w:t xml:space="preserve">INVOICE</w:t>
      </w:r>
    </w:p>
    <w:p>
      <w:pPr>
        <w:pStyle w:val="FirstParagraph"/>
      </w:pPr>
      <w:r>
        <w:t xml:space="preserve">Invoice Number: INV-2025-00487</w:t>
      </w:r>
    </w:p>
    <w:p>
      <w:pPr>
        <w:pStyle w:val="BodyText"/>
      </w:pPr>
      <w:r>
        <w:t xml:space="preserve">Invoice 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Client Company:</w:t>
      </w:r>
      <w:r>
        <w:t xml:space="preserve"> </w:t>
      </w:r>
      <w:r>
        <w:t xml:space="preserve">Noordbrabants Tech Group N.V.</w:t>
      </w:r>
    </w:p>
    <w:p>
      <w:pPr>
        <w:pStyle w:val="BodyText"/>
      </w:pPr>
      <w:r>
        <w:rPr>
          <w:bCs/>
          <w:b/>
        </w:rPr>
        <w:t xml:space="preserve">Address:</w:t>
      </w:r>
      <w:r>
        <w:t xml:space="preserve"> </w:t>
      </w:r>
      <w:r>
        <w:t xml:space="preserve">Herengracht 780, 1015 CE Amsterdam</w:t>
      </w:r>
    </w:p>
    <w:p>
      <w:pPr>
        <w:pStyle w:val="BodyText"/>
      </w:pPr>
      <w:r>
        <w:rPr>
          <w:bCs/>
          <w:b/>
        </w:rPr>
        <w:t xml:space="preserve">City:</w:t>
      </w:r>
      <w:r>
        <w:t xml:space="preserve"> </w:t>
      </w:r>
      <w:r>
        <w:t xml:space="preserve">Netherlands Amsterdam</w:t>
      </w:r>
    </w:p>
    <w:p>
      <w:pPr>
        <w:pStyle w:val="BodyText"/>
      </w:pPr>
      <w:r>
        <w:rPr>
          <w:bCs/>
          <w:b/>
        </w:rPr>
        <w:t xml:space="preserve">Contact:</w:t>
      </w:r>
      <w:r>
        <w:t xml:space="preserve"> </w:t>
      </w:r>
      <w:r>
        <w:t xml:space="preserve">Mr. J. van der Berg, Director of Operations</w:t>
      </w:r>
    </w:p>
    <w:p>
      <w:pPr>
        <w:pStyle w:val="BodyText"/>
      </w:pPr>
      <w:r>
        <w:rPr>
          <w:bCs/>
          <w:b/>
        </w:rPr>
        <w:t xml:space="preserve">Email:</w:t>
      </w:r>
      <w:r>
        <w:t xml:space="preserve"> </w:t>
      </w:r>
      <w:r>
        <w:t xml:space="preserve">j.vanderberg@noordbrabantstech.nl</w:t>
      </w:r>
    </w:p>
    <w:bookmarkEnd w:id="22"/>
    <w:bookmarkStart w:id="23" w:name="service-provided-by"/>
    <w:p>
      <w:pPr>
        <w:pStyle w:val="Heading3"/>
      </w:pPr>
      <w:r>
        <w:t xml:space="preserve">Service Provided By</w:t>
      </w:r>
    </w:p>
    <w:p>
      <w:pPr>
        <w:pStyle w:val="FirstParagraph"/>
      </w:pPr>
      <w:r>
        <w:rPr>
          <w:bCs/>
          <w:b/>
        </w:rPr>
        <w:t xml:space="preserve">Role:</w:t>
      </w:r>
      <w:r>
        <w:t xml:space="preserve"> </w:t>
      </w:r>
      <w:r>
        <w:t xml:space="preserve">Human Resources Manager</w:t>
      </w:r>
    </w:p>
    <w:p>
      <w:pPr>
        <w:pStyle w:val="BodyText"/>
      </w:pPr>
      <w:r>
        <w:rPr>
          <w:bCs/>
          <w:b/>
        </w:rPr>
        <w:t xml:space="preserve">Name:</w:t>
      </w:r>
      <w:r>
        <w:t xml:space="preserve"> </w:t>
      </w:r>
      <w:r>
        <w:t xml:space="preserve">Ms. Sarah de Vries, MSc HRM</w:t>
      </w:r>
    </w:p>
    <w:p>
      <w:pPr>
        <w:pStyle w:val="BodyText"/>
      </w:pPr>
      <w:r>
        <w:rPr>
          <w:bCs/>
          <w:b/>
        </w:rPr>
        <w:t xml:space="preserve">Specialization:</w:t>
      </w:r>
      <w:r>
        <w:t xml:space="preserve"> </w:t>
      </w:r>
      <w:r>
        <w:t xml:space="preserve">Strategic HR &amp; Organizational Development</w:t>
      </w:r>
    </w:p>
    <w:p>
      <w:pPr>
        <w:pStyle w:val="BodyText"/>
      </w:pPr>
      <w:r>
        <w:rPr>
          <w:bCs/>
          <w:b/>
        </w:rPr>
        <w:t xml:space="preserve">Location:</w:t>
      </w:r>
      <w:r>
        <w:t xml:space="preserve"> </w:t>
      </w:r>
      <w:r>
        <w:t xml:space="preserve">Netherlands Amsterdam</w:t>
      </w:r>
    </w:p>
    <w:p>
      <w:pPr>
        <w:pStyle w:val="BodyText"/>
      </w:pPr>
      <w:r>
        <w:rPr>
          <w:bCs/>
          <w:b/>
        </w:rPr>
        <w:t xml:space="preserve">Engagement Period:</w:t>
      </w:r>
      <w:r>
        <w:t xml:space="preserve"> </w:t>
      </w:r>
      <w:r>
        <w:t xml:space="preserve">1 January 2025 – 31 May 2025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Strategic Human Resources Planning &amp; Workforce Analysis</w:t>
            </w:r>
            <w:r>
              <w:br/>
            </w:r>
            <w:r>
              <w:t xml:space="preserve">Comprehensive workforce planning conducted by the Human Resources Manager for the Netherlands Amsterdam office. This included headcount forecasting, succession planning, talent pipeline development, and alignment of HR strategy with the company's five-year growth objectives in the Amsterdam metropolitan region.</w:t>
            </w:r>
          </w:p>
        </w:tc>
        <w:tc>
          <w:tcPr/>
          <w:p>
            <w:pPr>
              <w:pStyle w:val="Compact"/>
              <w:jc w:val="left"/>
            </w:pPr>
            <w:r>
              <w:t xml:space="preserve">Jan – Feb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rPr>
                <w:bCs/>
                <w:b/>
              </w:rPr>
              <w:t xml:space="preserve">Recruitment Strategy &amp; Employer Branding in Netherlands Amsterdam</w:t>
            </w:r>
            <w:r>
              <w:br/>
            </w:r>
            <w:r>
              <w:t xml:space="preserve">The Human Resources Manager designed and executed a full recruitment strategy targeting the competitive Netherlands Amsterdam labor market. Services included job architecture redesign, sourcing strategy for senior technical and managerial roles, employer branding campaigns on LinkedIn and Dutch job platforms, and management of 47 candidate pipelines across 12 open positions.</w:t>
            </w:r>
          </w:p>
        </w:tc>
        <w:tc>
          <w:tcPr/>
          <w:p>
            <w:pPr>
              <w:pStyle w:val="Compact"/>
              <w:jc w:val="left"/>
            </w:pPr>
            <w:r>
              <w:t xml:space="preserve">Feb – Mar 2025</w:t>
            </w:r>
          </w:p>
        </w:tc>
        <w:tc>
          <w:tcPr/>
          <w:p>
            <w:pPr>
              <w:pStyle w:val="Compact"/>
              <w:jc w:val="left"/>
            </w:pPr>
            <w:r>
              <w:t xml:space="preserve">160</w:t>
            </w:r>
          </w:p>
        </w:tc>
        <w:tc>
          <w:tcPr/>
          <w:p>
            <w:pPr>
              <w:pStyle w:val="Compact"/>
              <w:jc w:val="left"/>
            </w:pPr>
            <w:r>
              <w:t xml:space="preserve">€95.00</w:t>
            </w:r>
          </w:p>
        </w:tc>
        <w:tc>
          <w:tcPr/>
          <w:p>
            <w:pPr>
              <w:pStyle w:val="Compact"/>
              <w:jc w:val="left"/>
            </w:pPr>
            <w:r>
              <w:t xml:space="preserve">€15,200.00</w:t>
            </w:r>
          </w:p>
        </w:tc>
      </w:tr>
      <w:tr>
        <w:tc>
          <w:tcPr/>
          <w:p>
            <w:pPr>
              <w:pStyle w:val="Compact"/>
              <w:jc w:val="left"/>
            </w:pPr>
            <w:r>
              <w:t xml:space="preserve">3</w:t>
            </w:r>
          </w:p>
        </w:tc>
        <w:tc>
          <w:tcPr/>
          <w:p>
            <w:pPr>
              <w:pStyle w:val="Compact"/>
              <w:jc w:val="left"/>
            </w:pPr>
            <w:r>
              <w:rPr>
                <w:bCs/>
                <w:b/>
              </w:rPr>
              <w:t xml:space="preserve">Employee Relations, Compliance &amp; Dutch Labor Law Advisory</w:t>
            </w:r>
            <w:r>
              <w:br/>
            </w:r>
            <w:r>
              <w:t xml:space="preserve">Ongoing advisory by the Human Resources Manager on Dutch employment law (Wet arbeidsvoorwaarden werknemers), collective labor agreements (CAO), works council (ondernemingsraad) relations, and employee contract management. Included review and renegotiation of 34 employment contracts, implementation of a new performance management framework compliant with Netherlands Amsterdam municipal regulations, and mediation of 6 employee relations matters.</w:t>
            </w:r>
          </w:p>
        </w:tc>
        <w:tc>
          <w:tcPr/>
          <w:p>
            <w:pPr>
              <w:pStyle w:val="Compact"/>
              <w:jc w:val="left"/>
            </w:pPr>
            <w:r>
              <w:t xml:space="preserve">Mar – Apr 2025</w:t>
            </w:r>
          </w:p>
        </w:tc>
        <w:tc>
          <w:tcPr/>
          <w:p>
            <w:pPr>
              <w:pStyle w:val="Compact"/>
              <w:jc w:val="left"/>
            </w:pPr>
            <w:r>
              <w:t xml:space="preserve">140</w:t>
            </w:r>
          </w:p>
        </w:tc>
        <w:tc>
          <w:tcPr/>
          <w:p>
            <w:pPr>
              <w:pStyle w:val="Compact"/>
              <w:jc w:val="left"/>
            </w:pPr>
            <w:r>
              <w:t xml:space="preserve">€95.00</w:t>
            </w:r>
          </w:p>
        </w:tc>
        <w:tc>
          <w:tcPr/>
          <w:p>
            <w:pPr>
              <w:pStyle w:val="Compact"/>
              <w:jc w:val="left"/>
            </w:pPr>
            <w:r>
              <w:t xml:space="preserve">€13,300.00</w:t>
            </w:r>
          </w:p>
        </w:tc>
      </w:tr>
      <w:tr>
        <w:tc>
          <w:tcPr/>
          <w:p>
            <w:pPr>
              <w:pStyle w:val="Compact"/>
              <w:jc w:val="left"/>
            </w:pPr>
            <w:r>
              <w:t xml:space="preserve">4</w:t>
            </w:r>
          </w:p>
        </w:tc>
        <w:tc>
          <w:tcPr/>
          <w:p>
            <w:pPr>
              <w:pStyle w:val="Compact"/>
              <w:jc w:val="left"/>
            </w:pPr>
            <w:r>
              <w:rPr>
                <w:bCs/>
                <w:b/>
              </w:rPr>
              <w:t xml:space="preserve">Learning &amp; Development Program Design and Implementation</w:t>
            </w:r>
            <w:r>
              <w:br/>
            </w:r>
            <w:r>
              <w:t xml:space="preserve">The Human Resources Manager developed a structured L&amp;D program for 210 employees in the Netherlands Amsterdam headquarters. This included needs assessment, curriculum design for leadership development, diversity and inclusion training aligned with Dutch equal treatment legislation (Algemene wet gelijke behandeling), and coordination with accredited training providers in the Amsterdam region.</w:t>
            </w:r>
          </w:p>
        </w:tc>
        <w:tc>
          <w:tcPr/>
          <w:p>
            <w:pPr>
              <w:pStyle w:val="Compact"/>
              <w:jc w:val="left"/>
            </w:pPr>
            <w:r>
              <w:t xml:space="preserve">Apr – May 2025</w:t>
            </w:r>
          </w:p>
        </w:tc>
        <w:tc>
          <w:tcPr/>
          <w:p>
            <w:pPr>
              <w:pStyle w:val="Compact"/>
              <w:jc w:val="left"/>
            </w:pPr>
            <w:r>
              <w:t xml:space="preserve">130</w:t>
            </w:r>
          </w:p>
        </w:tc>
        <w:tc>
          <w:tcPr/>
          <w:p>
            <w:pPr>
              <w:pStyle w:val="Compact"/>
              <w:jc w:val="left"/>
            </w:pPr>
            <w:r>
              <w:t xml:space="preserve">€95.00</w:t>
            </w:r>
          </w:p>
        </w:tc>
        <w:tc>
          <w:tcPr/>
          <w:p>
            <w:pPr>
              <w:pStyle w:val="Compact"/>
              <w:jc w:val="left"/>
            </w:pPr>
            <w:r>
              <w:t xml:space="preserve">€12,350.00</w:t>
            </w:r>
          </w:p>
        </w:tc>
      </w:tr>
      <w:tr>
        <w:tc>
          <w:tcPr/>
          <w:p>
            <w:pPr>
              <w:pStyle w:val="Compact"/>
              <w:jc w:val="left"/>
            </w:pPr>
            <w:r>
              <w:t xml:space="preserve">5</w:t>
            </w:r>
          </w:p>
        </w:tc>
        <w:tc>
          <w:tcPr/>
          <w:p>
            <w:pPr>
              <w:pStyle w:val="Compact"/>
              <w:jc w:val="left"/>
            </w:pPr>
            <w:r>
              <w:rPr>
                <w:bCs/>
                <w:b/>
              </w:rPr>
              <w:t xml:space="preserve">HR Analytics, Reporting &amp; Final Engagement Summary</w:t>
            </w:r>
            <w:r>
              <w:br/>
            </w:r>
            <w:r>
              <w:t xml:space="preserve">Compilation of comprehensive HR metrics, turnover analysis, engagement survey results, and a final strategic report by the Human Resources Manager. This deliverable provided the Netherlands Amsterdam leadership team with actionable insights for the upcoming fiscal year, including benchmarking against industry standards in the Amsterdam business district and recommendations for HR technology investment.</w:t>
            </w:r>
          </w:p>
        </w:tc>
        <w:tc>
          <w:tcPr/>
          <w:p>
            <w:pPr>
              <w:pStyle w:val="Compact"/>
              <w:jc w:val="left"/>
            </w:pPr>
            <w:r>
              <w:t xml:space="preserve">May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€57,950.00</w:t>
            </w:r>
          </w:p>
        </w:tc>
      </w:tr>
      <w:tr>
        <w:tc>
          <w:tcPr/>
          <w:p>
            <w:pPr>
              <w:pStyle w:val="Compact"/>
              <w:jc w:val="left"/>
            </w:pPr>
            <w:r>
              <w:t xml:space="preserve">VAT (BTW) 21%</w:t>
            </w:r>
          </w:p>
        </w:tc>
        <w:tc>
          <w:tcPr/>
          <w:p>
            <w:pPr>
              <w:pStyle w:val="Compact"/>
              <w:jc w:val="right"/>
            </w:pPr>
            <w:r>
              <w:t xml:space="preserve">€12,169.50</w:t>
            </w:r>
          </w:p>
        </w:tc>
      </w:tr>
      <w:tr>
        <w:tc>
          <w:tcPr/>
          <w:p>
            <w:pPr>
              <w:pStyle w:val="Compact"/>
              <w:jc w:val="left"/>
            </w:pPr>
            <w:r>
              <w:t xml:space="preserve">Total Amount Due</w:t>
            </w:r>
          </w:p>
        </w:tc>
        <w:tc>
          <w:tcPr/>
          <w:p>
            <w:pPr>
              <w:pStyle w:val="Compact"/>
              <w:jc w:val="right"/>
            </w:pPr>
            <w:r>
              <w:t xml:space="preserve">€70,119.50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ABN AMRO Bank N.V., Amsterdam</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Reference:</w:t>
      </w:r>
      <w:r>
        <w:t xml:space="preserve"> </w:t>
      </w:r>
      <w:r>
        <w:t xml:space="preserve">INV-2025-00487 / Human Resources Manager Services</w:t>
      </w:r>
    </w:p>
    <w:p>
      <w:pPr>
        <w:pStyle w:val="BodyText"/>
      </w:pPr>
      <w:r>
        <w:rPr>
          <w:bCs/>
          <w:b/>
        </w:rPr>
        <w:t xml:space="preserve">Payment Method:</w:t>
      </w:r>
      <w:r>
        <w:t xml:space="preserve"> </w:t>
      </w:r>
      <w:r>
        <w:t xml:space="preserve">SEPA Bank Transfer (preferred) or Credit Card</w:t>
      </w:r>
    </w:p>
    <w:p>
      <w:pPr>
        <w:pStyle w:val="BodyText"/>
      </w:pPr>
      <w:r>
        <w:rPr>
          <w:bCs/>
          <w:b/>
        </w:rPr>
        <w:t xml:space="preserve">Payment Due:</w:t>
      </w:r>
      <w:r>
        <w:t xml:space="preserve"> </w:t>
      </w:r>
      <w:r>
        <w:t xml:space="preserve">Within 14 calendar days of this Invoice date (30 June 2025)</w:t>
      </w:r>
    </w:p>
    <w:p>
      <w:pPr>
        <w:pStyle w:val="BodyText"/>
      </w:pPr>
      <w:r>
        <w:rPr>
          <w:bCs/>
          <w:b/>
        </w:rPr>
        <w:t xml:space="preserve">Overdue Interest:</w:t>
      </w:r>
      <w:r>
        <w:t xml:space="preserve"> </w:t>
      </w:r>
      <w:r>
        <w:t xml:space="preserve">8% per annum as per Dutch Civil Code (Burgerlijk Wetboek) Article 6:119a</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Service Agreement dated 15 December 2024 between Amsterdam Talent Solutions B.V. and Noordbrabants Tech Group N.V. for the provision of Human Resources Manager services in the Netherlands Amsterdam region.</w:t>
      </w:r>
    </w:p>
    <w:p>
      <w:pPr>
        <w:numPr>
          <w:ilvl w:val="0"/>
          <w:numId w:val="1001"/>
        </w:numPr>
        <w:pStyle w:val="Compact"/>
      </w:pPr>
      <w:r>
        <w:t xml:space="preserve">All services rendered by the Human Resources Manager were performed in compliance with Dutch labor legislation, the Netherlands Amsterdam municipal employment guidelines, and applicable collective labor agreements.</w:t>
      </w:r>
    </w:p>
    <w:p>
      <w:pPr>
        <w:numPr>
          <w:ilvl w:val="0"/>
          <w:numId w:val="1001"/>
        </w:numPr>
        <w:pStyle w:val="Compact"/>
      </w:pPr>
      <w:r>
        <w:t xml:space="preserve">Payment of this Invoice is due within fourteen (14) days of the invoice date. Late payments will incur statutory interest as defined under Dutch law.</w:t>
      </w:r>
    </w:p>
    <w:p>
      <w:pPr>
        <w:numPr>
          <w:ilvl w:val="0"/>
          <w:numId w:val="1001"/>
        </w:numPr>
        <w:pStyle w:val="Compact"/>
      </w:pPr>
      <w:r>
        <w:t xml:space="preserve">The Human Resources Manager's engagement was conducted on a professional services basis. All intellectual property, reports, and strategic documents created during the engagement period remain the property of the client upon full settlement of this Invoice.</w:t>
      </w:r>
    </w:p>
    <w:p>
      <w:pPr>
        <w:numPr>
          <w:ilvl w:val="0"/>
          <w:numId w:val="1001"/>
        </w:numPr>
        <w:pStyle w:val="Compact"/>
      </w:pPr>
      <w:r>
        <w:t xml:space="preserve">This Invoice is subject to the VAT (Belasting Toegevoegde Waarde) regulations of the Netherlands. The 21% VAT rate applies as the services were rendered within the Netherlands Amsterdam jurisdiction.</w:t>
      </w:r>
    </w:p>
    <w:p>
      <w:pPr>
        <w:numPr>
          <w:ilvl w:val="0"/>
          <w:numId w:val="1001"/>
        </w:numPr>
        <w:pStyle w:val="Compact"/>
      </w:pPr>
      <w:r>
        <w:t xml:space="preserve">Any disputes arising from this Invoice shall be resolved under the jurisdiction of the District Court of Amsterdam, Netherlands.</w:t>
      </w:r>
    </w:p>
    <w:p>
      <w:pPr>
        <w:numPr>
          <w:ilvl w:val="0"/>
          <w:numId w:val="1001"/>
        </w:numPr>
        <w:pStyle w:val="Compact"/>
      </w:pPr>
      <w:r>
        <w:t xml:space="preserve">Confidentiality obligations as outlined in the Non-Disclosure Agreement (NDA) of 15 December 2024 remain in full force and effect beyond the completion of this engagement.</w:t>
      </w:r>
    </w:p>
    <w:bookmarkEnd w:id="25"/>
    <w:p>
      <w:pPr>
        <w:pStyle w:val="FirstParagraph"/>
      </w:pPr>
      <w:r>
        <w:t xml:space="preserve">Thank you for your business. This Invoice was generated by Amsterdam Talent Solutions B.V. for the professional services of a Human Resources Manager delivered in the Netherlands Amsterdam area.</w:t>
      </w:r>
    </w:p>
    <w:p>
      <w:pPr>
        <w:pStyle w:val="BodyText"/>
      </w:pPr>
      <w:r>
        <w:t xml:space="preserve">Amsterdam Talent Solutions B.V. | Keizersgracht 452, 1016 GD Amsterdam | KvK 87654321 | BTW NL867543212B01</w:t>
      </w:r>
    </w:p>
    <w:p>
      <w:pPr>
        <w:pStyle w:val="BodyText"/>
      </w:pPr>
      <w:r>
        <w:t xml:space="preserve">For questions regarding this Invoice, please contact our accounts department at billing@amsterdamtalentsolutions.nl or call +31 20 123 4567 (Mon–Fri, 09:00–17:00 CET).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Netherlands Amsterdam</dc:title>
  <dc:creator/>
  <dc:language>en</dc:language>
  <cp:keywords/>
  <dcterms:created xsi:type="dcterms:W3CDTF">2026-10-10T02:32:46Z</dcterms:created>
  <dcterms:modified xsi:type="dcterms:W3CDTF">2026-10-10T02:32:46Z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