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andina-talent-solutions-s.a.c."/>
    <w:p>
      <w:pPr>
        <w:pStyle w:val="Heading1"/>
      </w:pPr>
      <w:r>
        <w:t xml:space="preserve">Andina Talent Solutions S.A.C.</w:t>
      </w:r>
    </w:p>
    <w:p>
      <w:pPr>
        <w:pStyle w:val="FirstParagraph"/>
      </w:pPr>
      <w:r>
        <w:t xml:space="preserve">RUC: 20587431296</w:t>
      </w:r>
    </w:p>
    <w:p>
      <w:pPr>
        <w:pStyle w:val="BodyText"/>
      </w:pPr>
      <w:r>
        <w:t xml:space="preserve">Av. Javier Prado Este 1245, Of. 803</w:t>
      </w:r>
    </w:p>
    <w:p>
      <w:pPr>
        <w:pStyle w:val="BodyText"/>
      </w:pPr>
      <w:r>
        <w:t xml:space="preserve">San Isidro, Lima 15081, Peru</w:t>
      </w:r>
    </w:p>
    <w:p>
      <w:pPr>
        <w:pStyle w:val="BodyText"/>
      </w:pPr>
      <w:r>
        <w:t xml:space="preserve">Tel: +51 (01) 456-7890</w:t>
      </w:r>
    </w:p>
    <w:p>
      <w:pPr>
        <w:pStyle w:val="BodyText"/>
      </w:pPr>
      <w:r>
        <w:t xml:space="preserve">Email: billing@andinatalent.pe</w:t>
      </w:r>
    </w:p>
    <w:p>
      <w:pPr>
        <w:pStyle w:val="BodyText"/>
      </w:pPr>
      <w:r>
        <w:t xml:space="preserve">Reg. SUNAT: Contribuyente General</w:t>
      </w:r>
    </w:p>
    <w:bookmarkEnd w:id="20"/>
    <w:p>
      <w:pPr>
        <w:pStyle w:val="BodyText"/>
      </w:pPr>
      <w:r>
        <w:t xml:space="preserve">FACTURA ELECTRÓNICA</w:t>
      </w:r>
    </w:p>
    <w:bookmarkStart w:id="21" w:name="invoice"/>
    <w:p>
      <w:pPr>
        <w:pStyle w:val="Heading2"/>
      </w:pPr>
      <w:r>
        <w:t xml:space="preserve">INVOICE</w:t>
      </w:r>
    </w:p>
    <w:p>
      <w:pPr>
        <w:pStyle w:val="FirstParagraph"/>
      </w:pPr>
      <w:r>
        <w:t xml:space="preserve">Invoice No.: F001-004587</w:t>
      </w:r>
    </w:p>
    <w:p>
      <w:pPr>
        <w:pStyle w:val="BodyText"/>
      </w:pPr>
      <w:r>
        <w:t xml:space="preserve">CII: 01010000000000000000</w:t>
      </w:r>
    </w:p>
    <w:p>
      <w:pPr>
        <w:pStyle w:val="BodyText"/>
      </w:pPr>
      <w:r>
        <w:t xml:space="preserve">Issue Date: 15 June 2025</w:t>
      </w:r>
    </w:p>
    <w:p>
      <w:pPr>
        <w:pStyle w:val="BodyText"/>
      </w:pPr>
      <w:r>
        <w:t xml:space="preserve">Due Date: 30 June 2025</w:t>
      </w:r>
    </w:p>
    <w:bookmarkEnd w:id="21"/>
    <w:bookmarkStart w:id="22" w:name="billed-to-cliente"/>
    <w:p>
      <w:pPr>
        <w:pStyle w:val="Heading3"/>
      </w:pPr>
      <w:r>
        <w:t xml:space="preserve">Billed To (Cliente)</w:t>
      </w:r>
    </w:p>
    <w:p>
      <w:pPr>
        <w:pStyle w:val="FirstParagraph"/>
      </w:pPr>
      <w:r>
        <w:rPr>
          <w:bCs/>
          <w:b/>
        </w:rPr>
        <w:t xml:space="preserve">Grupo Empresarial del Pacífico S.A.C.</w:t>
      </w:r>
    </w:p>
    <w:p>
      <w:pPr>
        <w:pStyle w:val="BodyText"/>
      </w:pPr>
      <w:r>
        <w:t xml:space="preserve">RUC: 20491827365</w:t>
      </w:r>
    </w:p>
    <w:p>
      <w:pPr>
        <w:pStyle w:val="BodyText"/>
      </w:pPr>
      <w:r>
        <w:t xml:space="preserve">Calle Los Álamos 456, Piso 12</w:t>
      </w:r>
    </w:p>
    <w:p>
      <w:pPr>
        <w:pStyle w:val="BodyText"/>
      </w:pPr>
      <w:r>
        <w:t xml:space="preserve">Miraflores, Lima 15073, Peru</w:t>
      </w:r>
    </w:p>
    <w:p>
      <w:pPr>
        <w:pStyle w:val="BodyText"/>
      </w:pPr>
      <w:r>
        <w:t xml:space="preserve">Attn: Lic. María Fernanda Quispe Rojas</w:t>
      </w:r>
    </w:p>
    <w:p>
      <w:pPr>
        <w:pStyle w:val="BodyText"/>
      </w:pPr>
      <w:r>
        <w:t xml:space="preserve">Position: Chief Financial Officer</w:t>
      </w:r>
    </w:p>
    <w:bookmarkEnd w:id="22"/>
    <w:bookmarkStart w:id="23" w:name="service-details"/>
    <w:p>
      <w:pPr>
        <w:pStyle w:val="Heading3"/>
      </w:pPr>
      <w:r>
        <w:t xml:space="preserve">Service Details</w:t>
      </w:r>
    </w:p>
    <w:p>
      <w:pPr>
        <w:pStyle w:val="FirstParagraph"/>
      </w:pPr>
      <w:r>
        <w:rPr>
          <w:bCs/>
          <w:b/>
        </w:rPr>
        <w:t xml:space="preserve">Service:</w:t>
      </w:r>
      <w:r>
        <w:t xml:space="preserve"> </w:t>
      </w:r>
      <w:r>
        <w:t xml:space="preserve">Human Resources Manager</w:t>
      </w:r>
    </w:p>
    <w:p>
      <w:pPr>
        <w:pStyle w:val="BodyText"/>
      </w:pPr>
      <w:r>
        <w:rPr>
          <w:bCs/>
          <w:b/>
        </w:rPr>
        <w:t xml:space="preserve">Contract Ref:</w:t>
      </w:r>
      <w:r>
        <w:t xml:space="preserve"> </w:t>
      </w:r>
      <w:r>
        <w:t xml:space="preserve">HR-2025-0034</w:t>
      </w:r>
    </w:p>
    <w:p>
      <w:pPr>
        <w:pStyle w:val="BodyText"/>
      </w:pPr>
      <w:r>
        <w:rPr>
          <w:bCs/>
          <w:b/>
        </w:rPr>
        <w:t xml:space="preserve">Period:</w:t>
      </w:r>
      <w:r>
        <w:t xml:space="preserve"> </w:t>
      </w:r>
      <w:r>
        <w:t xml:space="preserve">01 Jun 2025 – 30 Jun 2025</w:t>
      </w:r>
    </w:p>
    <w:p>
      <w:pPr>
        <w:pStyle w:val="BodyText"/>
      </w:pPr>
      <w:r>
        <w:rPr>
          <w:bCs/>
          <w:b/>
        </w:rPr>
        <w:t xml:space="preserve">Location:</w:t>
      </w:r>
      <w:r>
        <w:t xml:space="preserve"> </w:t>
      </w:r>
      <w:r>
        <w:t xml:space="preserve">Lima, Peru</w:t>
      </w:r>
    </w:p>
    <w:p>
      <w:pPr>
        <w:pStyle w:val="BodyText"/>
      </w:pPr>
      <w:r>
        <w:rPr>
          <w:bCs/>
          <w:b/>
        </w:rPr>
        <w:t xml:space="preserve">Payment Terms:</w:t>
      </w:r>
      <w:r>
        <w:t xml:space="preserve"> </w:t>
      </w:r>
      <w:r>
        <w:t xml:space="preserve">Net 15 days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Código</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1</w:t>
            </w:r>
          </w:p>
        </w:tc>
        <w:tc>
          <w:tcPr/>
          <w:p>
            <w:pPr>
              <w:pStyle w:val="Compact"/>
              <w:jc w:val="left"/>
            </w:pPr>
            <w:r>
              <w:rPr>
                <w:bCs/>
                <w:b/>
              </w:rPr>
              <w:t xml:space="preserve">Human Resources Manager – Monthly Professional Services</w:t>
            </w:r>
          </w:p>
          <w:p>
            <w:pPr>
              <w:jc w:val="left"/>
            </w:pPr>
            <w:r>
              <w:t xml:space="preserve">Comprehensive management of all human capital functions for Grupo Empresarial del Pacífico S.A.C. in Lima, Peru. Includes workforce planning, recruitment coordination, employee onboarding, performance evaluation cycles, labor compliance with Peruvian labor law (D.L. 728), and strategic HR advisory to the executive board.</w:t>
            </w:r>
          </w:p>
        </w:tc>
        <w:tc>
          <w:tcPr/>
          <w:p>
            <w:pPr>
              <w:pStyle w:val="Compact"/>
              <w:jc w:val="left"/>
            </w:pPr>
            <w:r>
              <w:t xml:space="preserve">70000000000000000000</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Human Resources Manager – Employee Relations &amp; Conflict Resolution</w:t>
            </w:r>
          </w:p>
          <w:p>
            <w:pPr>
              <w:jc w:val="left"/>
            </w:pPr>
            <w:r>
              <w:t xml:space="preserve">Dedicated time allocated to managing internal labor disputes, conducting disciplinary hearings in accordance with Peruvian labor regulations, mediating workplace conflicts, and ensuring full compliance with the collective bargaining agreements applicable in the Lima metropolitan area.</w:t>
            </w:r>
          </w:p>
        </w:tc>
        <w:tc>
          <w:tcPr/>
          <w:p>
            <w:pPr>
              <w:pStyle w:val="Compact"/>
              <w:jc w:val="left"/>
            </w:pPr>
            <w:r>
              <w:t xml:space="preserve">70000000000000000000</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Human Resources Manager – Training &amp; Development Program Oversight</w:t>
            </w:r>
          </w:p>
          <w:p>
            <w:pPr>
              <w:jc w:val="left"/>
            </w:pPr>
            <w:r>
              <w:t xml:space="preserve">Design, coordination, and supervision of the monthly professional development program for 150+ employees. Includes vendor management for external training providers in Lima, tracking of competency matrices, and reporting to the Board of Directors on workforce capability metrics.</w:t>
            </w:r>
          </w:p>
        </w:tc>
        <w:tc>
          <w:tcPr/>
          <w:p>
            <w:pPr>
              <w:pStyle w:val="Compact"/>
              <w:jc w:val="left"/>
            </w:pPr>
            <w:r>
              <w:t xml:space="preserve">70000000000000000000</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Human Resources Manager – Payroll &amp; Benefits Administration</w:t>
            </w:r>
          </w:p>
          <w:p>
            <w:pPr>
              <w:jc w:val="left"/>
            </w:pPr>
            <w:r>
              <w:t xml:space="preserve">Full oversight of the monthly payroll cycle for all personnel in Lima, Peru. Includes verification of ESALD contributions, AFP pension deductions, CTS accruals, vacation entitlements, and preparation of the monthly SUNAT electronic reporting (Planilla Virtual) for all registered employees.</w:t>
            </w:r>
          </w:p>
        </w:tc>
        <w:tc>
          <w:tcPr/>
          <w:p>
            <w:pPr>
              <w:pStyle w:val="Compact"/>
              <w:jc w:val="left"/>
            </w:pPr>
            <w:r>
              <w:t xml:space="preserve">70000000000000000000</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Human Resources Manager – Strategic Workforce Planning &amp; Reporting</w:t>
            </w:r>
          </w:p>
          <w:p>
            <w:pPr>
              <w:jc w:val="left"/>
            </w:pPr>
            <w:r>
              <w:t xml:space="preserve">Preparation of the monthly HR analytics report covering turnover rates, absenteeism statistics, headcount projections, and budget variance analysis. Includes a formal presentation to the General Management team in Lima on the 28th of each month.</w:t>
            </w:r>
          </w:p>
        </w:tc>
        <w:tc>
          <w:tcPr/>
          <w:p>
            <w:pPr>
              <w:pStyle w:val="Compact"/>
              <w:jc w:val="left"/>
            </w:pPr>
            <w:r>
              <w:t xml:space="preserve">70000000000000000000</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24,800.00</w:t>
            </w:r>
          </w:p>
        </w:tc>
      </w:tr>
      <w:tr>
        <w:tc>
          <w:tcPr/>
          <w:p>
            <w:pPr>
              <w:pStyle w:val="Compact"/>
              <w:jc w:val="left"/>
            </w:pPr>
            <w:r>
              <w:t xml:space="preserve">IGV 18% (S/)</w:t>
            </w:r>
          </w:p>
        </w:tc>
        <w:tc>
          <w:tcPr/>
          <w:p>
            <w:pPr>
              <w:pStyle w:val="Compact"/>
              <w:jc w:val="right"/>
            </w:pPr>
            <w:r>
              <w:t xml:space="preserve">4,464.00</w:t>
            </w:r>
          </w:p>
        </w:tc>
      </w:tr>
      <w:tr>
        <w:tc>
          <w:tcPr/>
          <w:p>
            <w:pPr>
              <w:pStyle w:val="Compact"/>
              <w:jc w:val="left"/>
            </w:pPr>
            <w:r>
              <w:t xml:space="preserve">Perception I.R. 4% (S/)</w:t>
            </w:r>
          </w:p>
        </w:tc>
        <w:tc>
          <w:tcPr/>
          <w:p>
            <w:pPr>
              <w:pStyle w:val="Compact"/>
              <w:jc w:val="right"/>
            </w:pPr>
            <w:r>
              <w:t xml:space="preserve">(992.00)</w:t>
            </w:r>
          </w:p>
        </w:tc>
      </w:tr>
      <w:tr>
        <w:tc>
          <w:tcPr/>
          <w:p>
            <w:pPr>
              <w:pStyle w:val="Compact"/>
              <w:jc w:val="left"/>
            </w:pPr>
            <w:r>
              <w:t xml:space="preserve">TOTAL PAYABLE (S/)</w:t>
            </w:r>
          </w:p>
        </w:tc>
        <w:tc>
          <w:tcPr/>
          <w:p>
            <w:pPr>
              <w:pStyle w:val="Compact"/>
              <w:jc w:val="right"/>
            </w:pPr>
            <w:r>
              <w:t xml:space="preserve">28,272.00</w:t>
            </w:r>
          </w:p>
        </w:tc>
      </w:tr>
    </w:tbl>
    <w:bookmarkStart w:id="24" w:name="important-notes-payment-instructions"/>
    <w:p>
      <w:pPr>
        <w:pStyle w:val="Heading3"/>
      </w:pPr>
      <w:r>
        <w:t xml:space="preserve">Important Notes &amp; Payment Instructions</w:t>
      </w:r>
    </w:p>
    <w:p>
      <w:pPr>
        <w:pStyle w:val="FirstParagraph"/>
      </w:pPr>
      <w:r>
        <w:rPr>
          <w:bCs/>
          <w:b/>
        </w:rPr>
        <w:t xml:space="preserve">1.</w:t>
      </w:r>
      <w:r>
        <w:t xml:space="preserve"> </w:t>
      </w:r>
      <w:r>
        <w:t xml:space="preserve">This Invoice (Factura Electrónica) has been issued in accordance with the regulations established by the Superintendencia Nacional de Administración Tributaria (SUNAT) of Peru. The electronic document carries the same legal validity as a physical invoice under Peruvian tax law (Ley 28607).</w:t>
      </w:r>
    </w:p>
    <w:p>
      <w:pPr>
        <w:pStyle w:val="BodyText"/>
      </w:pPr>
      <w:r>
        <w:rPr>
          <w:bCs/>
          <w:b/>
        </w:rPr>
        <w:t xml:space="preserve">2.</w:t>
      </w:r>
      <w:r>
        <w:t xml:space="preserve"> </w:t>
      </w:r>
      <w:r>
        <w:t xml:space="preserve">Payment shall be made via bank transfer to: Banco de Crédito del Perú (BCP) – Cuenta Corriente N° 191-19876543-0-19, Titular: Andina Talent Solutions S.A.C., RUC 20587431296. Please reference Invoice No. F001-004587 in the transfer memo.</w:t>
      </w:r>
    </w:p>
    <w:p>
      <w:pPr>
        <w:pStyle w:val="BodyText"/>
      </w:pPr>
      <w:r>
        <w:rPr>
          <w:bCs/>
          <w:b/>
        </w:rPr>
        <w:t xml:space="preserve">3.</w:t>
      </w:r>
      <w:r>
        <w:t xml:space="preserve"> </w:t>
      </w:r>
      <w:r>
        <w:t xml:space="preserve">The Human Resources Manager services described in this invoice are rendered exclusively within the jurisdiction of Lima, Peru. All labor-related activities comply with the Peruvian General Labor Law (Ley General del Trabajo, D.S. 003-97-TR) and applicable municipal regulations of the Lima Metropolitan Government (Municipalidad Metropolitana de Lima).</w:t>
      </w:r>
    </w:p>
    <w:p>
      <w:pPr>
        <w:pStyle w:val="BodyText"/>
      </w:pPr>
      <w:r>
        <w:rPr>
          <w:bCs/>
          <w:b/>
        </w:rPr>
        <w:t xml:space="preserve">4.</w:t>
      </w:r>
      <w:r>
        <w:t xml:space="preserve"> </w:t>
      </w:r>
      <w:r>
        <w:t xml:space="preserve">The 4% Income Tax Perception (Percepción del Impuesto a la Renta) has been applied as mandated by SUNAT for professional services rendered by legal entities. This amount is creditable against the client's annual income tax obligation.</w:t>
      </w:r>
    </w:p>
    <w:p>
      <w:pPr>
        <w:pStyle w:val="BodyText"/>
      </w:pPr>
      <w:r>
        <w:rPr>
          <w:bCs/>
          <w:b/>
        </w:rPr>
        <w:t xml:space="preserve">5.</w:t>
      </w:r>
      <w:r>
        <w:t xml:space="preserve"> </w:t>
      </w:r>
      <w:r>
        <w:t xml:space="preserve">In the event of any discrepancy or question regarding this invoice, please contact our billing department within Lima at billing@andinatalent.pe or +51 (01) 456-7890, extension 204, during business hours (Monday to Friday, 08:00–17:00, Peru time, PET – UTC-5).</w:t>
      </w:r>
    </w:p>
    <w:p>
      <w:pPr>
        <w:pStyle w:val="BodyText"/>
      </w:pPr>
      <w:r>
        <w:rPr>
          <w:bCs/>
          <w:b/>
        </w:rPr>
        <w:t xml:space="preserve">6.</w:t>
      </w:r>
      <w:r>
        <w:t xml:space="preserve"> </w:t>
      </w:r>
      <w:r>
        <w:t xml:space="preserve">This invoice is valid for a period of 365 calendar days from the date of issue, in compliance with SUNAT's electronic invoicing regulations. Late payments are subject to a penalty of 1.5% per month of delay, as stipulated in the service agreement HR-2025-0034.</w:t>
      </w:r>
    </w:p>
    <w:bookmarkEnd w:id="24"/>
    <w:p>
      <w:pPr>
        <w:pStyle w:val="BodyText"/>
      </w:pPr>
      <w:r>
        <w:rPr>
          <w:bCs/>
          <w:b/>
        </w:rPr>
        <w:t xml:space="preserve">Andina Talent Solutions S.A.C.</w:t>
      </w:r>
      <w:r>
        <w:t xml:space="preserve"> </w:t>
      </w:r>
      <w:r>
        <w:t xml:space="preserve">| RUC: 20587431296 | Av. Javier Prado Este 1245, Of. 803, San Isidro, Lima 15081, Peru</w:t>
      </w:r>
    </w:p>
    <w:p>
      <w:pPr>
        <w:pStyle w:val="BodyText"/>
      </w:pPr>
      <w:r>
        <w:t xml:space="preserve">This document constitutes a legally binding Invoice for professional Human Resources Manager services rendered in Lima, Peru.</w:t>
      </w:r>
    </w:p>
    <w:p>
      <w:pPr>
        <w:pStyle w:val="BodyText"/>
      </w:pPr>
      <w:r>
        <w:t xml:space="preserve">Generated electronically on 15/06/2025 | FE No. F001-004587 | CII: 01010000000000000000 | SUNAT Authorized Electronic Invoice Issuer</w:t>
      </w:r>
    </w:p>
    <w:p>
      <w:pPr>
        <w:pStyle w:val="BodyText"/>
      </w:pPr>
      <w:r>
        <w:t xml:space="preserve">Thank you for your business. We value our partnership with Grupo Empresarial del Pacífico S.A.C. and look forward to continuing to support your human capital strategy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Lima, Peru</dc:title>
  <dc:creator/>
  <dc:language>en</dc:language>
  <cp:keywords/>
  <dcterms:created xsi:type="dcterms:W3CDTF">2026-10-10T04:32:06Z</dcterms:created>
  <dcterms:modified xsi:type="dcterms:W3CDTF">2026-10-10T04:32:06Z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