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hr-solutions-inc."/>
    <w:p>
      <w:pPr>
        <w:pStyle w:val="Heading1"/>
      </w:pPr>
      <w:r>
        <w:t xml:space="preserve">Manila HR Solutions Inc.</w:t>
      </w:r>
    </w:p>
    <w:p>
      <w:pPr>
        <w:pStyle w:val="FirstParagraph"/>
      </w:pPr>
      <w:r>
        <w:t xml:space="preserve">128th Floor, Ayala Center, Makati City</w:t>
      </w:r>
    </w:p>
    <w:p>
      <w:pPr>
        <w:pStyle w:val="BodyText"/>
      </w:pPr>
      <w:r>
        <w:t xml:space="preserve">Philippines Manila, 1226</w:t>
      </w:r>
    </w:p>
    <w:p>
      <w:pPr>
        <w:pStyle w:val="BodyText"/>
      </w:pPr>
      <w:r>
        <w:t xml:space="preserve">Tel: +63 (2) 8888-4521 | Email: billing@manilahrsolutions.ph</w:t>
      </w:r>
    </w:p>
    <w:p>
      <w:pPr>
        <w:pStyle w:val="BodyText"/>
      </w:pPr>
      <w:r>
        <w:t xml:space="preserve">TIN: 000-123-456-000 | BIR-ACN: 123456789012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TechVenture Philippines Corporation</w:t>
      </w:r>
    </w:p>
    <w:p>
      <w:pPr>
        <w:pStyle w:val="BodyText"/>
      </w:pPr>
      <w:r>
        <w:t xml:space="preserve">Attn: Mr. Ricardo S. Dela Cruz, Chief Executive Officer</w:t>
      </w:r>
    </w:p>
    <w:p>
      <w:pPr>
        <w:pStyle w:val="BodyText"/>
      </w:pPr>
      <w:r>
        <w:t xml:space="preserve">5th Floor, BDO Corporate Center</w:t>
      </w:r>
    </w:p>
    <w:p>
      <w:pPr>
        <w:pStyle w:val="BodyText"/>
      </w:pPr>
      <w:r>
        <w:t xml:space="preserve">10011 Paseo de Roxas, Makati City</w:t>
      </w:r>
    </w:p>
    <w:p>
      <w:pPr>
        <w:pStyle w:val="BodyText"/>
      </w:pPr>
      <w:r>
        <w:t xml:space="preserve">Philippines Manila, 1226</w:t>
      </w:r>
    </w:p>
    <w:p>
      <w:pPr>
        <w:pStyle w:val="BodyText"/>
      </w:pPr>
      <w:r>
        <w:t xml:space="preserve">TIN: 234-567-890-000</w:t>
      </w:r>
    </w:p>
    <w:bookmarkEnd w:id="22"/>
    <w:bookmarkStart w:id="23" w:name="prepared-by"/>
    <w:p>
      <w:pPr>
        <w:pStyle w:val="Heading3"/>
      </w:pPr>
      <w:r>
        <w:t xml:space="preserve">Prepared By</w:t>
      </w:r>
    </w:p>
    <w:p>
      <w:pPr>
        <w:pStyle w:val="FirstParagraph"/>
      </w:pPr>
      <w:r>
        <w:t xml:space="preserve">Ms. Angela M. Reyes</w:t>
      </w:r>
    </w:p>
    <w:p>
      <w:pPr>
        <w:pStyle w:val="BodyText"/>
      </w:pPr>
      <w:r>
        <w:t xml:space="preserve">Human Resources Manager</w:t>
      </w:r>
    </w:p>
    <w:p>
      <w:pPr>
        <w:pStyle w:val="BodyText"/>
      </w:pPr>
      <w:r>
        <w:t xml:space="preserve">Manila HR Solutions Inc.</w:t>
      </w:r>
    </w:p>
    <w:p>
      <w:pPr>
        <w:pStyle w:val="BodyText"/>
      </w:pPr>
      <w:r>
        <w:t xml:space="preserve">Philippines Manila</w:t>
      </w:r>
    </w:p>
    <w:p>
      <w:pPr>
        <w:pStyle w:val="BodyText"/>
      </w:pPr>
      <w:r>
        <w:t xml:space="preserve">PRC License No. HRM-2019-004521</w:t>
      </w:r>
    </w:p>
    <w:p>
      <w:pPr>
        <w:pStyle w:val="BodyText"/>
      </w:pPr>
      <w:r>
        <w:t xml:space="preserve">Email: a.reyes@manilahrsolutions.ph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Retained Human Resources Manager Consultation – Monthly strategic HR planning, workforce analysis, and organizational development advisory for TechVenture Philippines Corporation, Philippines Manila office.</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Recruitment and Talent Acquisition Services – Sourcing, screening, interviewing, and onboarding of 12 new employees across engineering, marketing, and operations departments in Philippines Manila.</w:t>
            </w:r>
          </w:p>
        </w:tc>
        <w:tc>
          <w:tcPr/>
          <w:p>
            <w:pPr>
              <w:pStyle w:val="Compact"/>
              <w:jc w:val="left"/>
            </w:pPr>
            <w:r>
              <w:t xml:space="preserve">12 positions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Employee Training and Development Program – Design and delivery of leadership workshops, compliance training (DOLE, SSS, PhilHealth, Pag-IBIG), and professional development sessions for 45 staff members.</w:t>
            </w:r>
          </w:p>
        </w:tc>
        <w:tc>
          <w:tcPr/>
          <w:p>
            <w:pPr>
              <w:pStyle w:val="Compact"/>
              <w:jc w:val="left"/>
            </w:pPr>
            <w:r>
              <w:t xml:space="preserve">6 sessions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Compensation and Benefits Audit – Comprehensive review of salary structures, overtime calculations, 13th-month pay compliance, and benefits packages in accordance with Philippine labor laws applicable in Philippines Manila.</w:t>
            </w:r>
          </w:p>
        </w:tc>
        <w:tc>
          <w:tcPr/>
          <w:p>
            <w:pPr>
              <w:pStyle w:val="Compact"/>
              <w:jc w:val="left"/>
            </w:pPr>
            <w:r>
              <w:t xml:space="preserve">1 audit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Employee Relations and Conflict Resolution – Mediation of 4 workplace disputes, policy revision for grievance procedures, and implementation of an employee engagement survey program.</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HR Compliance and Regulatory Filing – Preparation and submission of quarterly reports to DOLE, SSS, PhilHealth, and Pag-IBIG Fund for the Philippines Manila jurisdiction, including BIR withholding tax documentation.</w:t>
            </w:r>
          </w:p>
        </w:tc>
        <w:tc>
          <w:tcPr/>
          <w:p>
            <w:pPr>
              <w:pStyle w:val="Compact"/>
              <w:jc w:val="left"/>
            </w:pPr>
            <w:r>
              <w:t xml:space="preserve">1 quarter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Performance Management System Implementation – Design, rollout, and training for a new KPI-based performance appraisal framework covering all 120 employees in the Philippines Manila headquarters.</w:t>
            </w:r>
          </w:p>
        </w:tc>
        <w:tc>
          <w:tcPr/>
          <w:p>
            <w:pPr>
              <w:pStyle w:val="Compact"/>
              <w:jc w:val="left"/>
            </w:pPr>
            <w:r>
              <w:t xml:space="preserve">1 project</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493,000.00</w:t>
            </w:r>
          </w:p>
        </w:tc>
      </w:tr>
      <w:tr>
        <w:tc>
          <w:tcPr/>
          <w:p>
            <w:pPr>
              <w:pStyle w:val="Compact"/>
              <w:jc w:val="left"/>
            </w:pPr>
            <w:r>
              <w:t xml:space="preserve">VAT (12%)</w:t>
            </w:r>
          </w:p>
        </w:tc>
        <w:tc>
          <w:tcPr/>
          <w:p>
            <w:pPr>
              <w:pStyle w:val="Compact"/>
              <w:jc w:val="left"/>
            </w:pPr>
            <w:r>
              <w:t xml:space="preserve">PHP 59,160.00</w:t>
            </w:r>
          </w:p>
        </w:tc>
      </w:tr>
      <w:tr>
        <w:tc>
          <w:tcPr/>
          <w:p>
            <w:pPr>
              <w:pStyle w:val="Compact"/>
              <w:jc w:val="left"/>
            </w:pPr>
            <w:r>
              <w:t xml:space="preserve">Withholding Tax (10%)</w:t>
            </w:r>
          </w:p>
        </w:tc>
        <w:tc>
          <w:tcPr/>
          <w:p>
            <w:pPr>
              <w:pStyle w:val="Compact"/>
              <w:jc w:val="left"/>
            </w:pPr>
            <w:r>
              <w:t xml:space="preserve">(PHP 55,216.00)</w:t>
            </w:r>
          </w:p>
        </w:tc>
      </w:tr>
      <w:tr>
        <w:tc>
          <w:tcPr/>
          <w:p>
            <w:pPr>
              <w:pStyle w:val="Compact"/>
              <w:jc w:val="left"/>
            </w:pPr>
            <w:r>
              <w:t xml:space="preserve">NET AMOUNT DUE</w:t>
            </w:r>
          </w:p>
        </w:tc>
        <w:tc>
          <w:tcPr/>
          <w:p>
            <w:pPr>
              <w:pStyle w:val="Compact"/>
              <w:jc w:val="left"/>
            </w:pPr>
            <w:r>
              <w:t xml:space="preserve">PHP 496,944.00</w:t>
            </w:r>
          </w:p>
        </w:tc>
      </w:tr>
    </w:tbl>
    <w:bookmarkStart w:id="24" w:name="invoice-notes-and-service-summary"/>
    <w:p>
      <w:pPr>
        <w:pStyle w:val="Heading3"/>
      </w:pPr>
      <w:r>
        <w:t xml:space="preserve">Invoice Notes and Service Summary</w:t>
      </w:r>
    </w:p>
    <w:p>
      <w:pPr>
        <w:pStyle w:val="FirstParagraph"/>
      </w:pPr>
      <w:r>
        <w:t xml:space="preserve">This Invoice is issued by Manila HR Solutions Inc. for the professional services rendered by our certified Human Resources Manager, Ms. Angela M. Reyes, to TechVenture Philippines Corporation during the month of May 2025. All services were performed at the client's premises located in Philippines Manila and in full compliance with the Republic Act No. 11055 (Data Privacy Act of 2012) and applicable Department of Labor and Employment (DOLE) regulations.</w:t>
      </w:r>
    </w:p>
    <w:p>
      <w:pPr>
        <w:pStyle w:val="BodyText"/>
      </w:pPr>
      <w:r>
        <w:t xml:space="preserve">The Human Resources Manager engaged under this Invoice holds a valid Professional Regulation Commission (PRC) license and has over 15 years of experience in corporate human resources management within the Philippines Manila metropolitan area. All deliverables, including recruitment reports, training materials, compliance filings, and performance management documentation, have been submitted to the client's Human Resources department on May 30, 2025.</w:t>
      </w:r>
    </w:p>
    <w:p>
      <w:pPr>
        <w:pStyle w:val="BodyText"/>
      </w:pPr>
      <w:r>
        <w:t xml:space="preserve">This Invoice is valid for payment within thirty (30) calendar days from the date of issuance. A late payment penalty of 1.5% per month shall be applied to any outstanding balance beyond the due date of July 15, 2025, in accordance with the service agreement signed by both parties.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BDO Unibank, Inc. – Makati City Branch, Philippines Manila</w:t>
      </w:r>
    </w:p>
    <w:p>
      <w:pPr>
        <w:pStyle w:val="BodyText"/>
      </w:pPr>
      <w:r>
        <w:rPr>
          <w:bCs/>
          <w:b/>
        </w:rPr>
        <w:t xml:space="preserve">Account Name:</w:t>
      </w:r>
      <w:r>
        <w:t xml:space="preserve"> </w:t>
      </w:r>
      <w:r>
        <w:t xml:space="preserve">Manila HR Solutions Inc.</w:t>
      </w:r>
    </w:p>
    <w:p>
      <w:pPr>
        <w:pStyle w:val="BodyText"/>
      </w:pPr>
      <w:r>
        <w:rPr>
          <w:bCs/>
          <w:b/>
        </w:rPr>
        <w:t xml:space="preserve">Account No.:</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 No.:</w:t>
      </w:r>
      <w:r>
        <w:t xml:space="preserve"> </w:t>
      </w:r>
      <w:r>
        <w:t xml:space="preserve">MHR-2025-00472</w:t>
      </w:r>
    </w:p>
    <w:p>
      <w:pPr>
        <w:pStyle w:val="BodyText"/>
      </w:pPr>
      <w:r>
        <w:t xml:space="preserve">Please ensure that the Invoice number is included in the payment reference for proper reconciliation. For inquiries regarding this Invoice, please contact our billing department at +63 (2) 8888-4521 or billing@manilahrsolutions.ph.</w:t>
      </w:r>
    </w:p>
    <w:bookmarkEnd w:id="25"/>
    <w:p>
      <w:pPr>
        <w:pStyle w:val="BodyText"/>
      </w:pPr>
      <w:r>
        <w:rPr>
          <w:bCs/>
          <w:b/>
        </w:rPr>
        <w:t xml:space="preserve">Manila HR Solutions Inc.</w:t>
      </w:r>
      <w:r>
        <w:t xml:space="preserve"> </w:t>
      </w:r>
      <w:r>
        <w:t xml:space="preserve">| 128th Floor, Ayala Center, Makati City, Philippines Manila, 1226</w:t>
      </w:r>
    </w:p>
    <w:p>
      <w:pPr>
        <w:pStyle w:val="BodyText"/>
      </w:pPr>
      <w:r>
        <w:t xml:space="preserve">Registered with the Securities and Exchange Commission (SEC) Reg. No. CS2018-045678 | BIR-ACN: 123456789012</w:t>
      </w:r>
    </w:p>
    <w:p>
      <w:pPr>
        <w:pStyle w:val="BodyText"/>
      </w:pPr>
      <w:r>
        <w:t xml:space="preserve">This Invoice is generated electronically and is valid without a physical signature. For verification, contact our office in Philippines Manila.</w:t>
      </w:r>
    </w:p>
    <w:p>
      <w:pPr>
        <w:pStyle w:val="BodyText"/>
      </w:pPr>
      <w:r>
        <w:t xml:space="preserve">Thank you for your business. We look forward to continuing our partnership in supporting your Human Resources Manager needs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Philippines Manila</dc:title>
  <dc:creator/>
  <dc:language>en</dc:language>
  <cp:keywords/>
  <dcterms:created xsi:type="dcterms:W3CDTF">2026-10-10T01:16:34Z</dcterms:created>
  <dcterms:modified xsi:type="dcterms:W3CDTF">2026-10-10T01:16:34Z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