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hr-solutions-moscow-llc"/>
    <w:p>
      <w:pPr>
        <w:pStyle w:val="Heading1"/>
      </w:pPr>
      <w:r>
        <w:t xml:space="preserve">HR Solutions Moscow LLC</w:t>
      </w:r>
    </w:p>
    <w:p>
      <w:pPr>
        <w:pStyle w:val="FirstParagraph"/>
      </w:pPr>
      <w:r>
        <w:t xml:space="preserve">12 Tverskaya Street, Building 3, Office 45</w:t>
      </w:r>
    </w:p>
    <w:p>
      <w:pPr>
        <w:pStyle w:val="BodyText"/>
      </w:pPr>
      <w:r>
        <w:t xml:space="preserve">Moscow, 125009, Russian Federation</w:t>
      </w:r>
    </w:p>
    <w:p>
      <w:pPr>
        <w:pStyle w:val="BodyText"/>
      </w:pPr>
      <w:r>
        <w:t xml:space="preserve">Taxpayer Identification Number (INN): 7701234567</w:t>
      </w:r>
    </w:p>
    <w:p>
      <w:pPr>
        <w:pStyle w:val="BodyText"/>
      </w:pPr>
      <w:r>
        <w:t xml:space="preserve">Primary State Registration Number (OGRN): 1157746001234</w:t>
      </w:r>
    </w:p>
    <w:p>
      <w:pPr>
        <w:pStyle w:val="BodyText"/>
      </w:pPr>
      <w:r>
        <w:t xml:space="preserve">Phone: +7 (495) 123-45-67</w:t>
      </w:r>
    </w:p>
    <w:p>
      <w:pPr>
        <w:pStyle w:val="BodyText"/>
      </w:pPr>
      <w:r>
        <w:t xml:space="preserve">Email: billing@hrsolutionsmoscow.ru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HRM-2025-00482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Alpha Industries Group JSC</w:t>
      </w:r>
    </w:p>
    <w:p>
      <w:pPr>
        <w:pStyle w:val="BodyText"/>
      </w:pPr>
      <w:r>
        <w:t xml:space="preserve">45 Leningradsky Prospekt, Building 7</w:t>
      </w:r>
    </w:p>
    <w:p>
      <w:pPr>
        <w:pStyle w:val="BodyText"/>
      </w:pPr>
      <w:r>
        <w:t xml:space="preserve">Moscow, 125167, Russian Federation</w:t>
      </w:r>
    </w:p>
    <w:p>
      <w:pPr>
        <w:pStyle w:val="BodyText"/>
      </w:pPr>
      <w:r>
        <w:t xml:space="preserve">INN: 7719876543</w:t>
      </w:r>
    </w:p>
    <w:p>
      <w:pPr>
        <w:pStyle w:val="BodyText"/>
      </w:pPr>
      <w:r>
        <w:t xml:space="preserve">OGRN: 1027700123456</w:t>
      </w:r>
    </w:p>
    <w:p>
      <w:pPr>
        <w:pStyle w:val="BodyText"/>
      </w:pPr>
      <w:r>
        <w:t xml:space="preserve">Attn: Chief Financial Officer</w:t>
      </w:r>
    </w:p>
    <w:p>
      <w:pPr>
        <w:pStyle w:val="BodyText"/>
      </w:pPr>
      <w:r>
        <w:t xml:space="preserve">Contact: finance@alphaindustries.ru</w:t>
      </w:r>
    </w:p>
    <w:bookmarkEnd w:id="22"/>
    <w:bookmarkStart w:id="23" w:name="service-provider"/>
    <w:p>
      <w:pPr>
        <w:pStyle w:val="Heading3"/>
      </w:pPr>
      <w:r>
        <w:t xml:space="preserve">Service Provider</w:t>
      </w:r>
    </w:p>
    <w:p>
      <w:pPr>
        <w:pStyle w:val="FirstParagraph"/>
      </w:pPr>
      <w:r>
        <w:rPr>
          <w:bCs/>
          <w:b/>
        </w:rPr>
        <w:t xml:space="preserve">HR Solutions Moscow LLC</w:t>
      </w:r>
    </w:p>
    <w:p>
      <w:pPr>
        <w:pStyle w:val="BodyText"/>
      </w:pPr>
      <w:r>
        <w:t xml:space="preserve">12 Tverskaya Street, Building 3, Office 45</w:t>
      </w:r>
    </w:p>
    <w:p>
      <w:pPr>
        <w:pStyle w:val="BodyText"/>
      </w:pPr>
      <w:r>
        <w:t xml:space="preserve">Moscow, 125009, Russian Federation</w:t>
      </w:r>
    </w:p>
    <w:p>
      <w:pPr>
        <w:pStyle w:val="BodyText"/>
      </w:pPr>
      <w:r>
        <w:t xml:space="preserve">INN: 7701234567</w:t>
      </w:r>
    </w:p>
    <w:p>
      <w:pPr>
        <w:pStyle w:val="BodyText"/>
      </w:pPr>
      <w:r>
        <w:t xml:space="preserve">OGRN: 1157746001234</w:t>
      </w:r>
    </w:p>
    <w:p>
      <w:pPr>
        <w:pStyle w:val="BodyText"/>
      </w:pPr>
      <w:r>
        <w:t xml:space="preserve">Attn: Lead Human Resources Manager</w:t>
      </w:r>
    </w:p>
    <w:p>
      <w:pPr>
        <w:pStyle w:val="BodyText"/>
      </w:pPr>
      <w:r>
        <w:t xml:space="preserve">Contact: billing@hrsolutionsmoscow.ru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Human Resources Manager Services</w:t>
            </w:r>
          </w:p>
        </w:tc>
        <w:tc>
          <w:tcPr/>
          <w:p>
            <w:pPr>
              <w:pStyle w:val="Compact"/>
              <w:jc w:val="left"/>
            </w:pPr>
            <w:r>
              <w:t xml:space="preserve">Rate (RUB)</w:t>
            </w:r>
          </w:p>
        </w:tc>
        <w:tc>
          <w:tcPr/>
          <w:p>
            <w:pPr>
              <w:pStyle w:val="Compact"/>
              <w:jc w:val="left"/>
            </w:pPr>
            <w:r>
              <w:t xml:space="preserve">Hours / Units</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Strategic workforce planning and organizational restructuring advisory for the Moscow headquarters. The Human Resources Manager conducted a comprehensive audit of all 340 employees across five departments, developed a talent pipeline strategy, and presented a 12-month headcount projection to the Board of Directors in Moscow.</w:t>
            </w:r>
          </w:p>
        </w:tc>
        <w:tc>
          <w:tcPr/>
          <w:p>
            <w:pPr>
              <w:pStyle w:val="Compact"/>
              <w:jc w:val="left"/>
            </w:pPr>
            <w:r>
              <w:t xml:space="preserve">3,500</w:t>
            </w:r>
          </w:p>
        </w:tc>
        <w:tc>
          <w:tcPr/>
          <w:p>
            <w:pPr>
              <w:pStyle w:val="Compact"/>
              <w:jc w:val="left"/>
            </w:pPr>
            <w:r>
              <w:t xml:space="preserve">24 hrs</w:t>
            </w:r>
          </w:p>
        </w:tc>
        <w:tc>
          <w:tcPr/>
          <w:p>
            <w:pPr>
              <w:pStyle w:val="Compact"/>
              <w:jc w:val="left"/>
            </w:pPr>
            <w:r>
              <w:t xml:space="preserve">84,000.00</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Recruitment and onboarding management for 15 new positions in the engineering and sales divisions. The Human Resources Manager sourced, screened, and coordinated interviews for candidates in the Moscow metropolitan area, managed offer negotiations, and oversaw the full onboarding process in compliance with the Russian Labor Code (Trudovoy Kodeks RF).</w:t>
            </w:r>
          </w:p>
        </w:tc>
        <w:tc>
          <w:tcPr/>
          <w:p>
            <w:pPr>
              <w:pStyle w:val="Compact"/>
              <w:jc w:val="left"/>
            </w:pPr>
            <w:r>
              <w:t xml:space="preserve">2,800</w:t>
            </w:r>
          </w:p>
        </w:tc>
        <w:tc>
          <w:tcPr/>
          <w:p>
            <w:pPr>
              <w:pStyle w:val="Compact"/>
              <w:jc w:val="left"/>
            </w:pPr>
            <w:r>
              <w:t xml:space="preserve">40 hrs</w:t>
            </w:r>
          </w:p>
        </w:tc>
        <w:tc>
          <w:tcPr/>
          <w:p>
            <w:pPr>
              <w:pStyle w:val="Compact"/>
              <w:jc w:val="left"/>
            </w:pPr>
            <w:r>
              <w:t xml:space="preserve">112,000.00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Employee performance review cycle administration. The Human Resources Manager designed and implemented a quarterly KPI-based evaluation framework for all Moscow-based staff, conducted 340 individual performance interviews, and prepared consolidated reports for senior management.</w:t>
            </w:r>
          </w:p>
        </w:tc>
        <w:tc>
          <w:tcPr/>
          <w:p>
            <w:pPr>
              <w:pStyle w:val="Compact"/>
              <w:jc w:val="left"/>
            </w:pPr>
            <w:r>
              <w:t xml:space="preserve">3,200</w:t>
            </w:r>
          </w:p>
        </w:tc>
        <w:tc>
          <w:tcPr/>
          <w:p>
            <w:pPr>
              <w:pStyle w:val="Compact"/>
              <w:jc w:val="left"/>
            </w:pPr>
            <w:r>
              <w:t xml:space="preserve">32 hrs</w:t>
            </w:r>
          </w:p>
        </w:tc>
        <w:tc>
          <w:tcPr/>
          <w:p>
            <w:pPr>
              <w:pStyle w:val="Compact"/>
              <w:jc w:val="left"/>
            </w:pPr>
            <w:r>
              <w:t xml:space="preserve">102,400.00</w:t>
            </w:r>
          </w:p>
        </w:tc>
        <w:tc>
          <w:tcPr/>
          <w:p>
            <w:pPr>
              <w:pStyle w:val="Compact"/>
              <w:jc w:val="left"/>
            </w:pPr>
            <w:r>
              <w:t xml:space="preserve">20,480.00</w:t>
            </w:r>
          </w:p>
        </w:tc>
      </w:tr>
      <w:tr>
        <w:tc>
          <w:tcPr/>
          <w:p>
            <w:pPr>
              <w:pStyle w:val="Compact"/>
              <w:jc w:val="left"/>
            </w:pPr>
            <w:r>
              <w:t xml:space="preserve">4</w:t>
            </w:r>
          </w:p>
        </w:tc>
        <w:tc>
          <w:tcPr/>
          <w:p>
            <w:pPr>
              <w:pStyle w:val="Compact"/>
              <w:jc w:val="left"/>
            </w:pPr>
            <w:r>
              <w:t xml:space="preserve">Employee relations and labor law compliance consulting. The Human Resources Manager provided ongoing advisory services regarding amendments to the Russian Labor Code, managed two internal grievance proceedings, and ensured full compliance with Moscow municipal employment regulations and collective bargaining agreements.</w:t>
            </w:r>
          </w:p>
        </w:tc>
        <w:tc>
          <w:tcPr/>
          <w:p>
            <w:pPr>
              <w:pStyle w:val="Compact"/>
              <w:jc w:val="left"/>
            </w:pPr>
            <w:r>
              <w:t xml:space="preserve">3,000</w:t>
            </w:r>
          </w:p>
        </w:tc>
        <w:tc>
          <w:tcPr/>
          <w:p>
            <w:pPr>
              <w:pStyle w:val="Compact"/>
              <w:jc w:val="left"/>
            </w:pPr>
            <w:r>
              <w:t xml:space="preserve">20 hrs</w:t>
            </w:r>
          </w:p>
        </w:tc>
        <w:tc>
          <w:tcPr/>
          <w:p>
            <w:pPr>
              <w:pStyle w:val="Compact"/>
              <w:jc w:val="left"/>
            </w:pPr>
            <w:r>
              <w:t xml:space="preserve">60,000.00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Compensation and benefits benchmarking study. The Human Resources Manager conducted a market salary survey across 50 competing organizations in Moscow, analyzed total rewards packages, and delivered a revised compensation structure proposal to align with current market rates in the Russian capital.</w:t>
            </w:r>
          </w:p>
        </w:tc>
        <w:tc>
          <w:tcPr/>
          <w:p>
            <w:pPr>
              <w:pStyle w:val="Compact"/>
              <w:jc w:val="left"/>
            </w:pPr>
            <w:r>
              <w:t xml:space="preserve">4,000</w:t>
            </w:r>
          </w:p>
        </w:tc>
        <w:tc>
          <w:tcPr/>
          <w:p>
            <w:pPr>
              <w:pStyle w:val="Compact"/>
              <w:jc w:val="left"/>
            </w:pPr>
            <w:r>
              <w:t xml:space="preserve">16 hrs</w:t>
            </w:r>
          </w:p>
        </w:tc>
        <w:tc>
          <w:tcPr/>
          <w:p>
            <w:pPr>
              <w:pStyle w:val="Compact"/>
              <w:jc w:val="left"/>
            </w:pPr>
            <w:r>
              <w:t xml:space="preserve">64,000.00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Corporate training and professional development program design. The Human Resources Manager developed and delivered a 3-day leadership development workshop for 25 middle managers at the Moscow office, including curriculum design, facilitation, and post-training assessment reports.</w:t>
            </w:r>
          </w:p>
        </w:tc>
        <w:tc>
          <w:tcPr/>
          <w:p>
            <w:pPr>
              <w:pStyle w:val="Compact"/>
              <w:jc w:val="left"/>
            </w:pPr>
            <w:r>
              <w:t xml:space="preserve">5,500</w:t>
            </w:r>
          </w:p>
        </w:tc>
        <w:tc>
          <w:tcPr/>
          <w:p>
            <w:pPr>
              <w:pStyle w:val="Compact"/>
              <w:jc w:val="left"/>
            </w:pPr>
            <w:r>
              <w:t xml:space="preserve">12 hrs</w:t>
            </w:r>
          </w:p>
        </w:tc>
        <w:tc>
          <w:tcPr/>
          <w:p>
            <w:pPr>
              <w:pStyle w:val="Compact"/>
              <w:jc w:val="left"/>
            </w:pPr>
            <w:r>
              <w:t xml:space="preserve">66,000.00</w:t>
            </w:r>
          </w:p>
        </w:tc>
        <w:tc>
          <w:tcPr/>
          <w:p>
            <w:pPr>
              <w:pStyle w:val="Compact"/>
              <w:jc w:val="left"/>
            </w:pPr>
            <w:r>
              <w:t xml:space="preserve">13,200.00</w:t>
            </w:r>
          </w:p>
        </w:tc>
      </w:tr>
    </w:tbl>
    <w:p>
      <w:pPr>
        <w:pStyle w:val="BodyText"/>
      </w:pPr>
      <w:r>
        <w:t xml:space="preserve">Subtotal (excl. VAT):</w:t>
      </w:r>
      <w:r>
        <w:t xml:space="preserve">488,400.00 RUB</w:t>
      </w:r>
    </w:p>
    <w:p>
      <w:pPr>
        <w:pStyle w:val="BodyText"/>
      </w:pPr>
      <w:r>
        <w:t xml:space="preserve">VAT (20%):</w:t>
      </w:r>
      <w:r>
        <w:t xml:space="preserve">97,680.00 RUB</w:t>
      </w:r>
    </w:p>
    <w:p>
      <w:pPr>
        <w:pStyle w:val="BodyText"/>
      </w:pPr>
      <w:r>
        <w:t xml:space="preserve">Discount (Loyalty 5%):</w:t>
      </w:r>
      <w:r>
        <w:t xml:space="preserve">-24,420.00 RUB</w:t>
      </w:r>
    </w:p>
    <w:p>
      <w:pPr>
        <w:pStyle w:val="BodyText"/>
      </w:pPr>
      <w:r>
        <w:t xml:space="preserve">TOTAL AMOUNT DUE:</w:t>
      </w:r>
      <w:r>
        <w:t xml:space="preserve">561,660.00 RUB</w:t>
      </w:r>
    </w:p>
    <w:bookmarkStart w:id="24" w:name="payment-terms-and-banking-details"/>
    <w:p>
      <w:pPr>
        <w:pStyle w:val="Heading3"/>
      </w:pPr>
      <w:r>
        <w:t xml:space="preserve">Payment Terms and Banking Details</w:t>
      </w:r>
    </w:p>
    <w:p>
      <w:pPr>
        <w:pStyle w:val="FirstParagraph"/>
      </w:pPr>
      <w:r>
        <w:t xml:space="preserve">This invoice for Human Resources Manager professional services rendered in Moscow, Russia, is payable within 15 calendar days from the issue date. Payment is due no later than 30 June 2025.</w:t>
      </w:r>
    </w:p>
    <w:p>
      <w:pPr>
        <w:numPr>
          <w:ilvl w:val="0"/>
          <w:numId w:val="1001"/>
        </w:numPr>
        <w:pStyle w:val="Compact"/>
      </w:pPr>
      <w:r>
        <w:rPr>
          <w:bCs/>
          <w:b/>
        </w:rPr>
        <w:t xml:space="preserve">Bank:</w:t>
      </w:r>
      <w:r>
        <w:t xml:space="preserve"> </w:t>
      </w:r>
      <w:r>
        <w:t xml:space="preserve">Sberbank, Moscow Branch</w:t>
      </w:r>
    </w:p>
    <w:p>
      <w:pPr>
        <w:numPr>
          <w:ilvl w:val="0"/>
          <w:numId w:val="1001"/>
        </w:numPr>
        <w:pStyle w:val="Compact"/>
      </w:pPr>
      <w:r>
        <w:rPr>
          <w:bCs/>
          <w:b/>
        </w:rPr>
        <w:t xml:space="preserve">Account Holder:</w:t>
      </w:r>
      <w:r>
        <w:t xml:space="preserve"> </w:t>
      </w:r>
      <w:r>
        <w:t xml:space="preserve">HR Solutions Moscow LLC</w:t>
      </w:r>
    </w:p>
    <w:p>
      <w:pPr>
        <w:numPr>
          <w:ilvl w:val="0"/>
          <w:numId w:val="1001"/>
        </w:numPr>
        <w:pStyle w:val="Compact"/>
      </w:pPr>
      <w:r>
        <w:rPr>
          <w:bCs/>
          <w:b/>
        </w:rPr>
        <w:t xml:space="preserve">Account Number (R/S):</w:t>
      </w:r>
      <w:r>
        <w:t xml:space="preserve"> </w:t>
      </w:r>
      <w:r>
        <w:t xml:space="preserve">40702810400000012345</w:t>
      </w:r>
    </w:p>
    <w:p>
      <w:pPr>
        <w:numPr>
          <w:ilvl w:val="0"/>
          <w:numId w:val="1001"/>
        </w:numPr>
        <w:pStyle w:val="Compact"/>
      </w:pPr>
      <w:r>
        <w:rPr>
          <w:bCs/>
          <w:b/>
        </w:rPr>
        <w:t xml:space="preserve">Correspondent Account (K/S):</w:t>
      </w:r>
      <w:r>
        <w:t xml:space="preserve"> </w:t>
      </w:r>
      <w:r>
        <w:t xml:space="preserve">30101810400000000606</w:t>
      </w:r>
    </w:p>
    <w:p>
      <w:pPr>
        <w:numPr>
          <w:ilvl w:val="0"/>
          <w:numId w:val="1001"/>
        </w:numPr>
        <w:pStyle w:val="Compact"/>
      </w:pPr>
      <w:r>
        <w:rPr>
          <w:bCs/>
          <w:b/>
        </w:rPr>
        <w:t xml:space="preserve">BIC/SWIFT:</w:t>
      </w:r>
      <w:r>
        <w:t xml:space="preserve"> </w:t>
      </w:r>
      <w:r>
        <w:t xml:space="preserve">SABRRUMM</w:t>
      </w:r>
    </w:p>
    <w:p>
      <w:pPr>
        <w:numPr>
          <w:ilvl w:val="0"/>
          <w:numId w:val="1001"/>
        </w:numPr>
        <w:pStyle w:val="Compact"/>
      </w:pPr>
      <w:r>
        <w:rPr>
          <w:bCs/>
          <w:b/>
        </w:rPr>
        <w:t xml:space="preserve">Payment Reference:</w:t>
      </w:r>
      <w:r>
        <w:t xml:space="preserve"> </w:t>
      </w:r>
      <w:r>
        <w:t xml:space="preserve">Invoice HRM-2025-00482</w:t>
      </w:r>
    </w:p>
    <w:p>
      <w:pPr>
        <w:numPr>
          <w:ilvl w:val="0"/>
          <w:numId w:val="1001"/>
        </w:numPr>
        <w:pStyle w:val="Compact"/>
      </w:pPr>
      <w:r>
        <w:rPr>
          <w:bCs/>
          <w:b/>
        </w:rPr>
        <w:t xml:space="preserve">Currency:</w:t>
      </w:r>
      <w:r>
        <w:t xml:space="preserve"> </w:t>
      </w:r>
      <w:r>
        <w:t xml:space="preserve">Russian Ruble (RUB / RUB 643)</w:t>
      </w:r>
    </w:p>
    <w:p>
      <w:pPr>
        <w:pStyle w:val="FirstParagraph"/>
      </w:pPr>
      <w:r>
        <w:t xml:space="preserve">Late payments will incur a penalty of 0.1% per calendar day in accordance with Article 395 of the Civil Code of the Russian Federation. Please reference the invoice number on all remittances.</w:t>
      </w:r>
    </w:p>
    <w:bookmarkEnd w:id="24"/>
    <w:bookmarkStart w:id="25" w:name="additional-notes-and-terms"/>
    <w:p>
      <w:pPr>
        <w:pStyle w:val="Heading3"/>
      </w:pPr>
      <w:r>
        <w:t xml:space="preserve">Additional Notes and Terms</w:t>
      </w:r>
    </w:p>
    <w:p>
      <w:pPr>
        <w:pStyle w:val="FirstParagraph"/>
      </w:pPr>
      <w:r>
        <w:t xml:space="preserve">This invoice covers the full scope of Human Resources Manager services delivered to Alpha Industries Group JSC during the month of June 2025 at their Moscow headquarters and satellite offices. All services were performed in strict compliance with the Labor Code of the Russian Federation, Federal Law No. 152-FZ on Personal Data, and applicable Moscow municipal regulations.</w:t>
      </w:r>
    </w:p>
    <w:p>
      <w:pPr>
        <w:pStyle w:val="BodyText"/>
      </w:pPr>
      <w:r>
        <w:t xml:space="preserve">The Human Resources Manager engaged under this contract, Ms. Elena V. Petrova (Professional HR Certification, HRCI-SPHR equivalent), has completed all deliverables as outlined in the Statement of Work dated 01 January 2025. All work products, including the workforce planning report, compensation benchmarking study, and training materials, are the intellectual property of the client upon full payment of this invoice.</w:t>
      </w:r>
    </w:p>
    <w:p>
      <w:pPr>
        <w:pStyle w:val="BodyText"/>
      </w:pPr>
      <w:r>
        <w:t xml:space="preserve">This invoice is issued in accordance with the Federal Law on Accounting (No. 402-FZ) and the applicable tax regulations of the Russian Federation. A duplicate copy of this invoice may be requested by the client for internal accounting purposes. The document is valid as a primary accounting document for the purposes of tax deduction and expense recognition under Russian tax law.</w:t>
      </w:r>
    </w:p>
    <w:p>
      <w:pPr>
        <w:pStyle w:val="BodyText"/>
      </w:pPr>
      <w:r>
        <w:t xml:space="preserve">For any disputes regarding the services described in this invoice, the parties agree to resolve matters through negotiation first, followed by arbitration at the Moscow Arbitration Court in accordance with the governing law of the Russian Federation.</w:t>
      </w:r>
    </w:p>
    <w:bookmarkEnd w:id="25"/>
    <w:p>
      <w:pPr>
        <w:pStyle w:val="BodyText"/>
      </w:pPr>
      <w:r>
        <w:rPr>
          <w:bCs/>
          <w:b/>
        </w:rPr>
        <w:t xml:space="preserve">HR Solutions Moscow LLC</w:t>
      </w:r>
      <w:r>
        <w:t xml:space="preserve"> </w:t>
      </w:r>
      <w:r>
        <w:t xml:space="preserve">| 12 Tverskaya Street, Building 3, Office 45, Moscow, 125009, Russian Federation</w:t>
      </w:r>
    </w:p>
    <w:p>
      <w:pPr>
        <w:pStyle w:val="BodyText"/>
      </w:pPr>
      <w:r>
        <w:t xml:space="preserve">INN: 7701234567 | OGRN: 1157746001234 | KPP: 770101001</w:t>
      </w:r>
    </w:p>
    <w:p>
      <w:pPr>
        <w:pStyle w:val="BodyText"/>
      </w:pPr>
      <w:r>
        <w:t xml:space="preserve">Registered with the Moscow City Chamber of Commerce and Industry</w:t>
      </w:r>
    </w:p>
    <w:p>
      <w:pPr>
        <w:pStyle w:val="BodyText"/>
      </w:pPr>
      <w:r>
        <w:t xml:space="preserve">This is a computer-generated invoice for Human Resources Manager services. No signature is required for validity under Russian electronic document exchange regulations (FZ-63 on Electronic Documents).</w:t>
      </w:r>
    </w:p>
    <w:p>
      <w:pPr>
        <w:pStyle w:val="BodyText"/>
      </w:pPr>
      <w:r>
        <w:t xml:space="preserve">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Moscow, Russia</dc:title>
  <dc:creator/>
  <dc:language>en</dc:language>
  <cp:keywords/>
  <dcterms:created xsi:type="dcterms:W3CDTF">2026-10-10T03:39:07Z</dcterms:created>
  <dcterms:modified xsi:type="dcterms:W3CDTF">2026-10-10T03:39:07Z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