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hr-consulting-group"/>
    <w:p>
      <w:pPr>
        <w:pStyle w:val="Heading1"/>
      </w:pPr>
      <w:r>
        <w:t xml:space="preserve">Al-Nakheel HR Consulting Group</w:t>
      </w:r>
    </w:p>
    <w:p>
      <w:pPr>
        <w:pStyle w:val="FirstParagraph"/>
      </w:pPr>
      <w:r>
        <w:t xml:space="preserve">Office 1204, Kingdom Tower, King Fahd Road</w:t>
      </w:r>
    </w:p>
    <w:p>
      <w:pPr>
        <w:pStyle w:val="BodyText"/>
      </w:pPr>
      <w:r>
        <w:t xml:space="preserve">Jeddah 23436, Saudi Arabia</w:t>
      </w:r>
    </w:p>
    <w:p>
      <w:pPr>
        <w:pStyle w:val="BodyText"/>
      </w:pPr>
      <w:r>
        <w:t xml:space="preserve">VAT Registration No.: 310123456700003</w:t>
      </w:r>
    </w:p>
    <w:p>
      <w:pPr>
        <w:pStyle w:val="BodyText"/>
      </w:pPr>
      <w:r>
        <w:t xml:space="preserve">CR No.: 1010456789</w:t>
      </w:r>
    </w:p>
    <w:p>
      <w:pPr>
        <w:pStyle w:val="BodyText"/>
      </w:pPr>
      <w:r>
        <w:t xml:space="preserve">Email: billing@alnakheelhr.sa | Tel: +966 12 654 3210</w:t>
      </w:r>
    </w:p>
    <w:bookmarkEnd w:id="20"/>
    <w:bookmarkStart w:id="21" w:name="invoice"/>
    <w:p>
      <w:pPr>
        <w:pStyle w:val="Heading2"/>
      </w:pPr>
      <w:r>
        <w:t xml:space="preserve">INVOICE</w:t>
      </w:r>
    </w:p>
    <w:p>
      <w:pPr>
        <w:pStyle w:val="FirstParagraph"/>
      </w:pPr>
      <w:r>
        <w:t xml:space="preserve">Invoice No: INV-JED-2025-00847</w:t>
      </w:r>
    </w:p>
    <w:p>
      <w:pPr>
        <w:pStyle w:val="BodyText"/>
      </w:pPr>
      <w:r>
        <w:t xml:space="preserve">Date of Issue: 15 June 2025</w:t>
      </w:r>
    </w:p>
    <w:p>
      <w:pPr>
        <w:pStyle w:val="BodyText"/>
      </w:pPr>
      <w:r>
        <w:t xml:space="preserve">Due Date: 15 July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Al-Rashid Industrial Group Co., Ltd.</w:t>
      </w:r>
    </w:p>
    <w:p>
      <w:pPr>
        <w:pStyle w:val="BodyText"/>
      </w:pPr>
      <w:r>
        <w:t xml:space="preserve">Attn: Mr. Khalid Al-Otaibi, Chief Executive Officer</w:t>
      </w:r>
    </w:p>
    <w:p>
      <w:pPr>
        <w:pStyle w:val="BodyText"/>
      </w:pPr>
      <w:r>
        <w:t xml:space="preserve">Headquarters, Prince Sultan Road</w:t>
      </w:r>
    </w:p>
    <w:p>
      <w:pPr>
        <w:pStyle w:val="BodyText"/>
      </w:pPr>
      <w:r>
        <w:t xml:space="preserve">Jeddah 21589, Saudi Arabia</w:t>
      </w:r>
    </w:p>
    <w:p>
      <w:pPr>
        <w:pStyle w:val="BodyText"/>
      </w:pPr>
      <w:r>
        <w:t xml:space="preserve">VAT No.: 310987654300003</w:t>
      </w:r>
    </w:p>
    <w:p>
      <w:pPr>
        <w:pStyle w:val="BodyText"/>
      </w:pPr>
      <w:r>
        <w:t xml:space="preserve">CR No.: 1010987654</w:t>
      </w:r>
    </w:p>
    <w:bookmarkEnd w:id="22"/>
    <w:bookmarkStart w:id="23" w:name="service-provider"/>
    <w:p>
      <w:pPr>
        <w:pStyle w:val="Heading3"/>
      </w:pPr>
      <w:r>
        <w:t xml:space="preserve">Service Provider</w:t>
      </w:r>
    </w:p>
    <w:p>
      <w:pPr>
        <w:pStyle w:val="FirstParagraph"/>
      </w:pPr>
      <w:r>
        <w:rPr>
          <w:bCs/>
          <w:b/>
        </w:rPr>
        <w:t xml:space="preserve">Al-Nakheel HR Consulting Group</w:t>
      </w:r>
    </w:p>
    <w:p>
      <w:pPr>
        <w:pStyle w:val="BodyText"/>
      </w:pPr>
      <w:r>
        <w:t xml:space="preserve">Lead Consultant: Ms. Sarah Al-Harbi</w:t>
      </w:r>
    </w:p>
    <w:p>
      <w:pPr>
        <w:pStyle w:val="BodyText"/>
      </w:pPr>
      <w:r>
        <w:t xml:space="preserve">Human Resources Manager, Senior Division</w:t>
      </w:r>
    </w:p>
    <w:p>
      <w:pPr>
        <w:pStyle w:val="BodyText"/>
      </w:pPr>
      <w:r>
        <w:t xml:space="preserve">Jeddah, Saudi Arabia</w:t>
      </w:r>
    </w:p>
    <w:p>
      <w:pPr>
        <w:pStyle w:val="BodyText"/>
      </w:pPr>
      <w:r>
        <w:t xml:space="preserve">Professional License: HR-2024-55821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Retained Human Resources Manager services including workforce planning, organizational restructuring, and strategic HR policy development for the Jeddah operations division.</w:t>
            </w:r>
          </w:p>
        </w:tc>
        <w:tc>
          <w:tcPr/>
          <w:p>
            <w:pPr>
              <w:pStyle w:val="Compact"/>
              <w:jc w:val="left"/>
            </w:pPr>
            <w:r>
              <w:t xml:space="preserve">Jan – Mar 2025</w:t>
            </w:r>
          </w:p>
        </w:tc>
        <w:tc>
          <w:tcPr/>
          <w:p>
            <w:pPr>
              <w:pStyle w:val="Compact"/>
              <w:jc w:val="left"/>
            </w:pPr>
            <w:r>
              <w:t xml:space="preserve">3 months</w:t>
            </w:r>
          </w:p>
        </w:tc>
        <w:tc>
          <w:tcPr/>
          <w:p>
            <w:pPr>
              <w:pStyle w:val="Compact"/>
              <w:jc w:val="left"/>
            </w:pPr>
            <w:r>
              <w:t xml:space="preserve">28,500.00</w:t>
            </w:r>
          </w:p>
        </w:tc>
        <w:tc>
          <w:tcPr/>
          <w:p>
            <w:pPr>
              <w:pStyle w:val="Compact"/>
              <w:jc w:val="left"/>
            </w:pPr>
            <w:r>
              <w:t xml:space="preserve">85,500.00</w:t>
            </w:r>
          </w:p>
        </w:tc>
      </w:tr>
      <w:tr>
        <w:tc>
          <w:tcPr/>
          <w:p>
            <w:pPr>
              <w:pStyle w:val="Compact"/>
              <w:jc w:val="left"/>
            </w:pPr>
            <w:r>
              <w:t xml:space="preserve">2</w:t>
            </w:r>
          </w:p>
        </w:tc>
        <w:tc>
          <w:tcPr/>
          <w:p>
            <w:pPr>
              <w:pStyle w:val="Compact"/>
              <w:jc w:val="left"/>
            </w:pPr>
            <w:r>
              <w:t xml:space="preserve">Recruitment and talent acquisition management: sourcing, screening, interviewing, and onboarding of 45 new employees across engineering, logistics, and administrative departments in Saudi Arabia Jeddah.</w:t>
            </w:r>
          </w:p>
        </w:tc>
        <w:tc>
          <w:tcPr/>
          <w:p>
            <w:pPr>
              <w:pStyle w:val="Compact"/>
              <w:jc w:val="left"/>
            </w:pPr>
            <w:r>
              <w:t xml:space="preserve">Feb – Apr 2025</w:t>
            </w:r>
          </w:p>
        </w:tc>
        <w:tc>
          <w:tcPr/>
          <w:p>
            <w:pPr>
              <w:pStyle w:val="Compact"/>
              <w:jc w:val="left"/>
            </w:pPr>
            <w:r>
              <w:t xml:space="preserve">45 positions</w:t>
            </w:r>
          </w:p>
        </w:tc>
        <w:tc>
          <w:tcPr/>
          <w:p>
            <w:pPr>
              <w:pStyle w:val="Compact"/>
              <w:jc w:val="left"/>
            </w:pPr>
            <w:r>
              <w:t xml:space="preserve">1,200.00</w:t>
            </w:r>
          </w:p>
        </w:tc>
        <w:tc>
          <w:tcPr/>
          <w:p>
            <w:pPr>
              <w:pStyle w:val="Compact"/>
              <w:jc w:val="left"/>
            </w:pPr>
            <w:r>
              <w:t xml:space="preserve">54,000.00</w:t>
            </w:r>
          </w:p>
        </w:tc>
      </w:tr>
      <w:tr>
        <w:tc>
          <w:tcPr/>
          <w:p>
            <w:pPr>
              <w:pStyle w:val="Compact"/>
              <w:jc w:val="left"/>
            </w:pPr>
            <w:r>
              <w:t xml:space="preserve">3</w:t>
            </w:r>
          </w:p>
        </w:tc>
        <w:tc>
          <w:tcPr/>
          <w:p>
            <w:pPr>
              <w:pStyle w:val="Compact"/>
              <w:jc w:val="left"/>
            </w:pPr>
            <w:r>
              <w:t xml:space="preserve">Employee performance management system implementation: design, deployment, and training of a KPI-based evaluation framework compliant with Saudi Labor Law (Royal Decree No. M/51).</w:t>
            </w:r>
          </w:p>
        </w:tc>
        <w:tc>
          <w:tcPr/>
          <w:p>
            <w:pPr>
              <w:pStyle w:val="Compact"/>
              <w:jc w:val="left"/>
            </w:pPr>
            <w:r>
              <w:t xml:space="preserve">Mar – May 2025</w:t>
            </w:r>
          </w:p>
        </w:tc>
        <w:tc>
          <w:tcPr/>
          <w:p>
            <w:pPr>
              <w:pStyle w:val="Compact"/>
              <w:jc w:val="left"/>
            </w:pPr>
            <w:r>
              <w:t xml:space="preserve">1 project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4</w:t>
            </w:r>
          </w:p>
        </w:tc>
        <w:tc>
          <w:tcPr/>
          <w:p>
            <w:pPr>
              <w:pStyle w:val="Compact"/>
              <w:jc w:val="left"/>
            </w:pPr>
            <w:r>
              <w:t xml:space="preserve">HR compliance audit and Saudization (Nitaqat) ratio optimization: full review of employment contracts, Iqama management, and workforce nationalization ratio to ensure full compliance with Ministry of Human Resources and Social Development regulations in Saudi Arabia Jeddah.</w:t>
            </w:r>
          </w:p>
        </w:tc>
        <w:tc>
          <w:tcPr/>
          <w:p>
            <w:pPr>
              <w:pStyle w:val="Compact"/>
              <w:jc w:val="left"/>
            </w:pPr>
            <w:r>
              <w:t xml:space="preserve">Apr 2025</w:t>
            </w:r>
          </w:p>
        </w:tc>
        <w:tc>
          <w:tcPr/>
          <w:p>
            <w:pPr>
              <w:pStyle w:val="Compact"/>
              <w:jc w:val="left"/>
            </w:pPr>
            <w:r>
              <w:t xml:space="preserve">1 audit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5</w:t>
            </w:r>
          </w:p>
        </w:tc>
        <w:tc>
          <w:tcPr/>
          <w:p>
            <w:pPr>
              <w:pStyle w:val="Compact"/>
              <w:jc w:val="left"/>
            </w:pPr>
            <w:r>
              <w:t xml:space="preserve">Compensation and benefits benchmarking study: market salary survey analysis for 12 job families, benefits package redesign, and annual increment recommendations aligned with Jeddah market rates.</w:t>
            </w:r>
          </w:p>
        </w:tc>
        <w:tc>
          <w:tcPr/>
          <w:p>
            <w:pPr>
              <w:pStyle w:val="Compact"/>
              <w:jc w:val="left"/>
            </w:pPr>
            <w:r>
              <w:t xml:space="preserve">May 2025</w:t>
            </w:r>
          </w:p>
        </w:tc>
        <w:tc>
          <w:tcPr/>
          <w:p>
            <w:pPr>
              <w:pStyle w:val="Compact"/>
              <w:jc w:val="left"/>
            </w:pPr>
            <w:r>
              <w:t xml:space="preserve">1 study</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Employee relations and grievance handling: mediation of 12 labor disputes, drafting of updated employee handbook, and conducting 4 town-hall sessions for staff in the Jeddah facility.</w:t>
            </w:r>
          </w:p>
        </w:tc>
        <w:tc>
          <w:tcPr/>
          <w:p>
            <w:pPr>
              <w:pStyle w:val="Compact"/>
              <w:jc w:val="left"/>
            </w:pPr>
            <w:r>
              <w:t xml:space="preserve">May – Jun 2025</w:t>
            </w:r>
          </w:p>
        </w:tc>
        <w:tc>
          <w:tcPr/>
          <w:p>
            <w:pPr>
              <w:pStyle w:val="Compact"/>
              <w:jc w:val="left"/>
            </w:pPr>
            <w:r>
              <w:t xml:space="preserve">1 package</w:t>
            </w:r>
          </w:p>
        </w:tc>
        <w:tc>
          <w:tcPr/>
          <w:p>
            <w:pPr>
              <w:pStyle w:val="Compact"/>
              <w:jc w:val="left"/>
            </w:pPr>
            <w:r>
              <w:t xml:space="preserve">15,250.00</w:t>
            </w:r>
          </w:p>
        </w:tc>
        <w:tc>
          <w:tcPr/>
          <w:p>
            <w:pPr>
              <w:pStyle w:val="Compact"/>
              <w:jc w:val="left"/>
            </w:pPr>
            <w:r>
              <w:t xml:space="preserve">15,250.00</w:t>
            </w:r>
          </w:p>
        </w:tc>
      </w:tr>
      <w:tr>
        <w:tc>
          <w:tcPr/>
          <w:p>
            <w:pPr>
              <w:pStyle w:val="Compact"/>
              <w:jc w:val="left"/>
            </w:pPr>
            <w:r>
              <w:t xml:space="preserve">7</w:t>
            </w:r>
          </w:p>
        </w:tc>
        <w:tc>
          <w:tcPr/>
          <w:p>
            <w:pPr>
              <w:pStyle w:val="Compact"/>
              <w:jc w:val="left"/>
            </w:pPr>
            <w:r>
              <w:t xml:space="preserve">Training and development program design: leadership development curriculum for 8 middle managers, technical upskilling workshops, and new-hire orientation program development.</w:t>
            </w:r>
          </w:p>
        </w:tc>
        <w:tc>
          <w:tcPr/>
          <w:p>
            <w:pPr>
              <w:pStyle w:val="Compact"/>
              <w:jc w:val="left"/>
            </w:pPr>
            <w:r>
              <w:t xml:space="preserve">Jun 2025</w:t>
            </w:r>
          </w:p>
        </w:tc>
        <w:tc>
          <w:tcPr/>
          <w:p>
            <w:pPr>
              <w:pStyle w:val="Compact"/>
              <w:jc w:val="left"/>
            </w:pPr>
            <w:r>
              <w:t xml:space="preserve">1 program</w:t>
            </w:r>
          </w:p>
        </w:tc>
        <w:tc>
          <w:tcPr/>
          <w:p>
            <w:pPr>
              <w:pStyle w:val="Compact"/>
              <w:jc w:val="left"/>
            </w:pPr>
            <w:r>
              <w:t xml:space="preserve">19,500.00</w:t>
            </w:r>
          </w:p>
        </w:tc>
        <w:tc>
          <w:tcPr/>
          <w:p>
            <w:pPr>
              <w:pStyle w:val="Compact"/>
              <w:jc w:val="left"/>
            </w:pPr>
            <w:r>
              <w:t xml:space="preserve">19,500.00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257,000.00 SAR</w:t>
            </w:r>
          </w:p>
        </w:tc>
      </w:tr>
      <w:tr>
        <w:tc>
          <w:tcPr/>
          <w:p>
            <w:pPr>
              <w:pStyle w:val="Compact"/>
              <w:jc w:val="left"/>
            </w:pPr>
            <w:r>
              <w:t xml:space="preserve">VAT (15%)</w:t>
            </w:r>
          </w:p>
        </w:tc>
        <w:tc>
          <w:tcPr/>
          <w:p>
            <w:pPr>
              <w:pStyle w:val="Compact"/>
              <w:jc w:val="right"/>
            </w:pPr>
            <w:r>
              <w:t xml:space="preserve">38,550.00 SAR</w:t>
            </w:r>
          </w:p>
        </w:tc>
      </w:tr>
      <w:tr>
        <w:tc>
          <w:tcPr/>
          <w:p>
            <w:pPr>
              <w:pStyle w:val="Compact"/>
              <w:jc w:val="left"/>
            </w:pPr>
            <w:r>
              <w:t xml:space="preserve">Early Payment Discount (2%)</w:t>
            </w:r>
          </w:p>
        </w:tc>
        <w:tc>
          <w:tcPr/>
          <w:p>
            <w:pPr>
              <w:pStyle w:val="Compact"/>
              <w:jc w:val="right"/>
            </w:pPr>
            <w:r>
              <w:t xml:space="preserve">-5,140.00 SAR</w:t>
            </w:r>
          </w:p>
        </w:tc>
      </w:tr>
      <w:tr>
        <w:tc>
          <w:tcPr/>
          <w:p>
            <w:pPr>
              <w:pStyle w:val="Compact"/>
              <w:jc w:val="left"/>
            </w:pPr>
            <w:r>
              <w:t xml:space="preserve">Grand Total Due</w:t>
            </w:r>
          </w:p>
        </w:tc>
        <w:tc>
          <w:tcPr/>
          <w:p>
            <w:pPr>
              <w:pStyle w:val="Compact"/>
              <w:jc w:val="right"/>
            </w:pPr>
            <w:r>
              <w:t xml:space="preserve">290,410.00 SAR</w:t>
            </w:r>
          </w:p>
        </w:tc>
      </w:tr>
    </w:tbl>
    <w:bookmarkStart w:id="24" w:name="payment-terms-and-invoice-notes"/>
    <w:p>
      <w:pPr>
        <w:pStyle w:val="Heading3"/>
      </w:pPr>
      <w:r>
        <w:t xml:space="preserve">Payment Terms and Invoice Notes</w:t>
      </w:r>
    </w:p>
    <w:p>
      <w:pPr>
        <w:pStyle w:val="FirstParagraph"/>
      </w:pPr>
      <w:r>
        <w:rPr>
          <w:bCs/>
          <w:b/>
        </w:rPr>
        <w:t xml:space="preserve">Payment Method:</w:t>
      </w:r>
      <w:r>
        <w:t xml:space="preserve"> </w:t>
      </w:r>
      <w:r>
        <w:t xml:space="preserve">Bank transfer to Al-Nakheel HR Consulting Group, Saudi National Bank, IBAN: SA03 8000 0000 6080 1016 7519. Please reference Invoice No. INV-JED-2025-00847 in your remittance advice.</w:t>
      </w:r>
    </w:p>
    <w:p>
      <w:pPr>
        <w:pStyle w:val="BodyText"/>
      </w:pPr>
      <w:r>
        <w:rPr>
          <w:bCs/>
          <w:b/>
        </w:rPr>
        <w:t xml:space="preserve">Payment Due:</w:t>
      </w:r>
      <w:r>
        <w:t xml:space="preserve"> </w:t>
      </w:r>
      <w:r>
        <w:t xml:space="preserve">This Invoice is payable within thirty (30) calendar days from the date of issue. A late payment surcharge of 1.5% per month will apply to outstanding balances after the due date of 15 July 2025, in accordance with Saudi commercial law.</w:t>
      </w:r>
    </w:p>
    <w:p>
      <w:pPr>
        <w:pStyle w:val="BodyText"/>
      </w:pPr>
      <w:r>
        <w:rPr>
          <w:bCs/>
          <w:b/>
        </w:rPr>
        <w:t xml:space="preserve">Scope Confirmation:</w:t>
      </w:r>
      <w:r>
        <w:t xml:space="preserve"> </w:t>
      </w:r>
      <w:r>
        <w:t xml:space="preserve">All services rendered by the Human Resources Manager and the Al-Nakheel HR Consulting team were executed in full compliance with the Saudi Labor Law, the Ministry of Human Resources and Social Development (MHRSD) regulations, and the Vision 2030 workforce development guidelines applicable in Saudi Arabia Jeddah.</w:t>
      </w:r>
    </w:p>
    <w:p>
      <w:pPr>
        <w:pStyle w:val="BodyText"/>
      </w:pPr>
      <w:r>
        <w:rPr>
          <w:bCs/>
          <w:b/>
        </w:rPr>
        <w:t xml:space="preserve">Confidentiality:</w:t>
      </w:r>
      <w:r>
        <w:t xml:space="preserve"> </w:t>
      </w:r>
      <w:r>
        <w:t xml:space="preserve">All employee data, compensation structures, and organizational information processed under this engagement remain strictly confidential. This Invoice and its associated records are subject to the non-disclosure agreement signed on 1 January 2025.</w:t>
      </w:r>
    </w:p>
    <w:p>
      <w:pPr>
        <w:pStyle w:val="BodyText"/>
      </w:pPr>
      <w:r>
        <w:rPr>
          <w:bCs/>
          <w:b/>
        </w:rPr>
        <w:t xml:space="preserve">Dispute Resolution:</w:t>
      </w:r>
      <w:r>
        <w:t xml:space="preserve"> </w:t>
      </w:r>
      <w:r>
        <w:t xml:space="preserve">Any disputes arising from this Invoice or the services described herein shall be resolved through the Jeddah Commercial Court, Saudi Arabia, in accordance with the applicable provisions of the Saudi Civil and Commercial Transactions Law.</w:t>
      </w:r>
    </w:p>
    <w:p>
      <w:pPr>
        <w:pStyle w:val="BodyText"/>
      </w:pPr>
      <w:r>
        <w:rPr>
          <w:bCs/>
          <w:b/>
        </w:rPr>
        <w:t xml:space="preserve">Document Retention:</w:t>
      </w:r>
      <w:r>
        <w:t xml:space="preserve"> </w:t>
      </w:r>
      <w:r>
        <w:t xml:space="preserve">In compliance with Saudi tax and corporate record-keeping requirements, this Invoice and all supporting documentation must be retained for a minimum period of five (5) years from the date of issue.</w:t>
      </w:r>
    </w:p>
    <w:bookmarkEnd w:id="24"/>
    <w:p>
      <w:pPr>
        <w:pStyle w:val="BodyText"/>
      </w:pPr>
      <w:r>
        <w:rPr>
          <w:bCs/>
          <w:b/>
        </w:rPr>
        <w:t xml:space="preserve">Al-Nakheel HR Consulting Group</w:t>
      </w:r>
      <w:r>
        <w:t xml:space="preserve"> </w:t>
      </w:r>
      <w:r>
        <w:t xml:space="preserve">| Office 1204, Kingdom Tower, King Fahd Road, Jeddah 23436, Saudi Arabia</w:t>
      </w:r>
    </w:p>
    <w:p>
      <w:pPr>
        <w:pStyle w:val="BodyText"/>
      </w:pPr>
      <w:r>
        <w:t xml:space="preserve">This Invoice was generated electronically and is valid without a physical signature. For verification, contact billing@alnakheelhr.sa or call +966 12 654 3210.</w:t>
      </w:r>
    </w:p>
    <w:p>
      <w:pPr>
        <w:pStyle w:val="BodyText"/>
      </w:pPr>
      <w:r>
        <w:t xml:space="preserve">Thank you for your business. We look forward to continuing our partnership in supporting your Human Resources objectives in Saudi Arabia Jeddah and beyond.</w:t>
      </w:r>
    </w:p>
    <w:p>
      <w:pPr>
        <w:pStyle w:val="BodyText"/>
      </w:pPr>
      <w:r>
        <w:t xml:space="preserve">© 2025 Al-Nakheel HR Consulting Group. All rights reserved. | CR: 1010456789 | VAT: 310123456700003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Human Resources Manager Services - Saudi Arabia Jeddah</dc:title>
  <dc:creator/>
  <dc:language>en</dc:language>
  <cp:keywords/>
  <dcterms:created xsi:type="dcterms:W3CDTF">2026-10-10T04:08:28Z</dcterms:created>
  <dcterms:modified xsi:type="dcterms:W3CDTF">2026-10-10T04:08:28Z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