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talentbridge-consulting-s.l."/>
    <w:p>
      <w:pPr>
        <w:pStyle w:val="Heading1"/>
      </w:pPr>
      <w:r>
        <w:t xml:space="preserve">TalentBridge Consulting S.L.</w:t>
      </w:r>
    </w:p>
    <w:p>
      <w:pPr>
        <w:pStyle w:val="FirstParagraph"/>
      </w:pPr>
      <w:r>
        <w:t xml:space="preserve">Carrer de la Marina, 142, 3rd Floor</w:t>
      </w:r>
    </w:p>
    <w:p>
      <w:pPr>
        <w:pStyle w:val="BodyText"/>
      </w:pPr>
      <w:r>
        <w:t xml:space="preserve">08005 Barcelona, Spain</w:t>
      </w:r>
    </w:p>
    <w:p>
      <w:pPr>
        <w:pStyle w:val="BodyText"/>
      </w:pPr>
      <w:r>
        <w:t xml:space="preserve">NIF: B-65432109</w:t>
      </w:r>
    </w:p>
    <w:p>
      <w:pPr>
        <w:pStyle w:val="BodyText"/>
      </w:pPr>
      <w:r>
        <w:t xml:space="preserve">Phone: +34 932 555 018</w:t>
      </w:r>
    </w:p>
    <w:p>
      <w:pPr>
        <w:pStyle w:val="BodyText"/>
      </w:pPr>
      <w:r>
        <w:t xml:space="preserve">Email: billing@talentbridge.es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MedTech Solutions Iberia S.A.</w:t>
      </w:r>
    </w:p>
    <w:p>
      <w:pPr>
        <w:pStyle w:val="BodyText"/>
      </w:pPr>
      <w:r>
        <w:t xml:space="preserve">Av. Diagonal, 620, 5th Floor</w:t>
      </w:r>
    </w:p>
    <w:p>
      <w:pPr>
        <w:pStyle w:val="BodyText"/>
      </w:pPr>
      <w:r>
        <w:t xml:space="preserve">08021 Barcelona, Spain</w:t>
      </w:r>
    </w:p>
    <w:p>
      <w:pPr>
        <w:pStyle w:val="BodyText"/>
      </w:pPr>
      <w:r>
        <w:t xml:space="preserve">NIF: A-78912345</w:t>
      </w:r>
    </w:p>
    <w:p>
      <w:pPr>
        <w:pStyle w:val="BodyText"/>
      </w:pPr>
      <w:r>
        <w:t xml:space="preserve">Attn: Mr. Jordi Ferrer, Chief Operating Officer</w:t>
      </w:r>
    </w:p>
    <w:p>
      <w:pPr>
        <w:pStyle w:val="BodyText"/>
      </w:pPr>
      <w:r>
        <w:t xml:space="preserve">Email: j.ferrer@medtechiberia.com</w:t>
      </w:r>
    </w:p>
    <w:bookmarkEnd w:id="22"/>
    <w:bookmarkStart w:id="23" w:name="service-provider"/>
    <w:p>
      <w:pPr>
        <w:pStyle w:val="Heading3"/>
      </w:pPr>
      <w:r>
        <w:t xml:space="preserve">Service Provider</w:t>
      </w:r>
    </w:p>
    <w:p>
      <w:pPr>
        <w:pStyle w:val="FirstParagraph"/>
      </w:pPr>
      <w:r>
        <w:rPr>
          <w:bCs/>
          <w:b/>
        </w:rPr>
        <w:t xml:space="preserve">TalentBridge Consulting S.L.</w:t>
      </w:r>
    </w:p>
    <w:p>
      <w:pPr>
        <w:pStyle w:val="BodyText"/>
      </w:pPr>
      <w:r>
        <w:t xml:space="preserve">Human Resources Manager Division</w:t>
      </w:r>
    </w:p>
    <w:p>
      <w:pPr>
        <w:pStyle w:val="BodyText"/>
      </w:pPr>
      <w:r>
        <w:t xml:space="preserve">Carrer de la Marina, 142, 3rd Floor</w:t>
      </w:r>
    </w:p>
    <w:p>
      <w:pPr>
        <w:pStyle w:val="BodyText"/>
      </w:pPr>
      <w:r>
        <w:t xml:space="preserve">08005 Barcelona, Spain</w:t>
      </w:r>
    </w:p>
    <w:p>
      <w:pPr>
        <w:pStyle w:val="BodyText"/>
      </w:pPr>
      <w:r>
        <w:t xml:space="preserve">Lead Consultant: Marta Solé, Human Resources Manager</w:t>
      </w:r>
    </w:p>
    <w:p>
      <w:pPr>
        <w:pStyle w:val="BodyText"/>
      </w:pPr>
      <w:r>
        <w:t xml:space="preserve">Professional License: HRM-ES-2019-00342</w:t>
      </w:r>
    </w:p>
    <w:bookmarkEnd w:id="23"/>
    <w:bookmarkStart w:id="24" w:name="X7bff8d67e483352c1a432b84a109fa8efd98917"/>
    <w:p>
      <w:pPr>
        <w:pStyle w:val="Heading3"/>
      </w:pPr>
      <w:r>
        <w:t xml:space="preserve">Description of Services Rendered by the Human Resources Manager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workforce planning and organizational restructuring advisory provided by the Human Resources Manager for the Barcelona operations division</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Recruitment strategy development, employer branding campaigns, and candidate pipeline management executed by the Human Resources Manager across the Spain Barcelona metropolitan area</w:t>
            </w:r>
          </w:p>
        </w:tc>
        <w:tc>
          <w:tcPr/>
          <w:p>
            <w:pPr>
              <w:pStyle w:val="Compact"/>
              <w:jc w:val="left"/>
            </w:pPr>
            <w:r>
              <w:t xml:space="preserve">Jan – Mar 2025</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Employee engagement surveys, performance review framework design, and compensation benchmarking conducted by the Human Resources Manager in compliance with Spanish labor law (Estatuto de los Trabajadores)</w:t>
            </w:r>
          </w:p>
        </w:tc>
        <w:tc>
          <w:tcPr/>
          <w:p>
            <w:pPr>
              <w:pStyle w:val="Compact"/>
              <w:jc w:val="left"/>
            </w:pPr>
            <w:r>
              <w:t xml:space="preserve">Apr – Jun 2025</w:t>
            </w:r>
          </w:p>
        </w:tc>
        <w:tc>
          <w:tcPr/>
          <w:p>
            <w:pPr>
              <w:pStyle w:val="Compact"/>
              <w:jc w:val="left"/>
            </w:pPr>
            <w:r>
              <w:t xml:space="preserve">42</w:t>
            </w:r>
          </w:p>
        </w:tc>
        <w:tc>
          <w:tcPr/>
          <w:p>
            <w:pPr>
              <w:pStyle w:val="Compact"/>
              <w:jc w:val="left"/>
            </w:pPr>
            <w:r>
              <w:t xml:space="preserve">95.00</w:t>
            </w:r>
          </w:p>
        </w:tc>
        <w:tc>
          <w:tcPr/>
          <w:p>
            <w:pPr>
              <w:pStyle w:val="Compact"/>
              <w:jc w:val="left"/>
            </w:pPr>
            <w:r>
              <w:t xml:space="preserve">3,990.00</w:t>
            </w:r>
          </w:p>
        </w:tc>
      </w:tr>
      <w:tr>
        <w:tc>
          <w:tcPr/>
          <w:p>
            <w:pPr>
              <w:pStyle w:val="Compact"/>
              <w:jc w:val="left"/>
            </w:pPr>
            <w:r>
              <w:t xml:space="preserve">04</w:t>
            </w:r>
          </w:p>
        </w:tc>
        <w:tc>
          <w:tcPr/>
          <w:p>
            <w:pPr>
              <w:pStyle w:val="Compact"/>
              <w:jc w:val="left"/>
            </w:pPr>
            <w:r>
              <w:t xml:space="preserve">Onboarding program design, cultural integration workshops, and diversity and inclusion policy implementation led by the Human Resources Manager for new hires in the Spain Barcelona office</w:t>
            </w:r>
          </w:p>
        </w:tc>
        <w:tc>
          <w:tcPr/>
          <w:p>
            <w:pPr>
              <w:pStyle w:val="Compact"/>
              <w:jc w:val="left"/>
            </w:pPr>
            <w:r>
              <w:t xml:space="preserve">Apr – Jun 2025</w:t>
            </w:r>
          </w:p>
        </w:tc>
        <w:tc>
          <w:tcPr/>
          <w:p>
            <w:pPr>
              <w:pStyle w:val="Compact"/>
              <w:jc w:val="left"/>
            </w:pPr>
            <w:r>
              <w:t xml:space="preserve">28</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05</w:t>
            </w:r>
          </w:p>
        </w:tc>
        <w:tc>
          <w:tcPr/>
          <w:p>
            <w:pPr>
              <w:pStyle w:val="Compact"/>
              <w:jc w:val="left"/>
            </w:pPr>
            <w:r>
              <w:t xml:space="preserve">Legal compliance review of employment contracts, collective bargaining agreements, and social security contributions managed by the Human Resources Manager under Spanish and Catalan labor regulations</w:t>
            </w:r>
          </w:p>
        </w:tc>
        <w:tc>
          <w:tcPr/>
          <w:p>
            <w:pPr>
              <w:pStyle w:val="Compact"/>
              <w:jc w:val="left"/>
            </w:pPr>
            <w:r>
              <w:t xml:space="preserve">Apr – Jun 2025</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Quarterly HR analytics reporting, headcount forecasting, and executive briefing presentations prepared by the Human Resources Manager for the board of directors in Spain Barcelona</w:t>
            </w:r>
          </w:p>
        </w:tc>
        <w:tc>
          <w:tcPr/>
          <w:p>
            <w:pPr>
              <w:pStyle w:val="Compact"/>
              <w:jc w:val="left"/>
            </w:pPr>
            <w:r>
              <w:t xml:space="preserve">Q1 – Q2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18,590.00 EUR</w:t>
            </w:r>
          </w:p>
        </w:tc>
      </w:tr>
      <w:tr>
        <w:tc>
          <w:tcPr/>
          <w:p>
            <w:pPr>
              <w:pStyle w:val="Compact"/>
              <w:jc w:val="left"/>
            </w:pPr>
            <w:r>
              <w:t xml:space="preserve">VAT (IVA) at 21%</w:t>
            </w:r>
          </w:p>
        </w:tc>
        <w:tc>
          <w:tcPr/>
          <w:p>
            <w:pPr>
              <w:pStyle w:val="Compact"/>
              <w:jc w:val="left"/>
            </w:pPr>
            <w:r>
              <w:t xml:space="preserve">3,903.90 EUR</w:t>
            </w:r>
          </w:p>
        </w:tc>
      </w:tr>
      <w:tr>
        <w:tc>
          <w:tcPr/>
          <w:p>
            <w:pPr>
              <w:pStyle w:val="Compact"/>
              <w:jc w:val="left"/>
            </w:pPr>
            <w:r>
              <w:t xml:space="preserve">Withholding Tax (Retención IRPF) at 15%</w:t>
            </w:r>
          </w:p>
        </w:tc>
        <w:tc>
          <w:tcPr/>
          <w:p>
            <w:pPr>
              <w:pStyle w:val="Compact"/>
              <w:jc w:val="left"/>
            </w:pPr>
            <w:r>
              <w:t xml:space="preserve">-2,788.50 EUR</w:t>
            </w:r>
          </w:p>
        </w:tc>
      </w:tr>
      <w:tr>
        <w:tc>
          <w:tcPr/>
          <w:p>
            <w:pPr>
              <w:pStyle w:val="Compact"/>
              <w:jc w:val="left"/>
            </w:pPr>
            <w:r>
              <w:t xml:space="preserve">Total Amount Due</w:t>
            </w:r>
          </w:p>
        </w:tc>
        <w:tc>
          <w:tcPr/>
          <w:p>
            <w:pPr>
              <w:pStyle w:val="Compact"/>
              <w:jc w:val="left"/>
            </w:pPr>
            <w:r>
              <w:t xml:space="preserve">19,705.40 EUR</w:t>
            </w:r>
          </w:p>
        </w:tc>
      </w:tr>
    </w:tbl>
    <w:bookmarkEnd w:id="24"/>
    <w:bookmarkStart w:id="25" w:name="payment-instructions"/>
    <w:p>
      <w:pPr>
        <w:pStyle w:val="Heading3"/>
      </w:pPr>
      <w:r>
        <w:t xml:space="preserve">Payment Instructions</w:t>
      </w:r>
    </w:p>
    <w:p>
      <w:pPr>
        <w:pStyle w:val="FirstParagraph"/>
      </w:pPr>
      <w:r>
        <w:t xml:space="preserve">This Invoice must be settled within thirty (30) calendar days from the date of issue, in accordance with the commercial terms agreed upon between the parties. Payment shall be made via bank transfer to the following account held in Spain Barcelona:</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w:t>
      </w:r>
    </w:p>
    <w:p>
      <w:pPr>
        <w:pStyle w:val="BodyText"/>
      </w:pPr>
      <w:r>
        <w:rPr>
          <w:bCs/>
          <w:b/>
        </w:rPr>
        <w:t xml:space="preserve">Reference:</w:t>
      </w:r>
      <w:r>
        <w:t xml:space="preserve"> </w:t>
      </w:r>
      <w:r>
        <w:t xml:space="preserve">TB-2025-0047 / MedTech Solutions Iberia</w:t>
      </w:r>
    </w:p>
    <w:p>
      <w:pPr>
        <w:pStyle w:val="BodyText"/>
      </w:pPr>
      <w:r>
        <w:t xml:space="preserve">Please ensure that the Invoice number is included in the payment reference to facilitate accurate reconciliation of this transaction.</w:t>
      </w:r>
    </w:p>
    <w:bookmarkEnd w:id="25"/>
    <w:bookmarkStart w:id="26" w:name="important-notes-and-terms"/>
    <w:p>
      <w:pPr>
        <w:pStyle w:val="Heading3"/>
      </w:pPr>
      <w:r>
        <w:t xml:space="preserve">Important Notes and Terms</w:t>
      </w:r>
    </w:p>
    <w:p>
      <w:pPr>
        <w:pStyle w:val="FirstParagraph"/>
      </w:pPr>
      <w:r>
        <w:t xml:space="preserve">1. This Invoice has been issued in accordance with the Spanish Tax Agency (Agencia Tributaria) regulations and the applicable fiscal requirements for commercial transactions in Spain Barcelona.</w:t>
      </w:r>
    </w:p>
    <w:p>
      <w:pPr>
        <w:pStyle w:val="BodyText"/>
      </w:pPr>
      <w:r>
        <w:t xml:space="preserve">2. The Human Resources Manager services described herein were performed under a professional services contract (Contrato de Prestación de Servicios) dated 01 January 2025, reference number CTR-2025-0012.</w:t>
      </w:r>
    </w:p>
    <w:p>
      <w:pPr>
        <w:pStyle w:val="BodyText"/>
      </w:pPr>
      <w:r>
        <w:t xml:space="preserve">3. All rates quoted are exclusive of VAT. The applicable IVA rate of 21% has been applied as per the Spanish General Tax Law (Ley General Tributaria).</w:t>
      </w:r>
    </w:p>
    <w:p>
      <w:pPr>
        <w:pStyle w:val="BodyText"/>
      </w:pPr>
      <w:r>
        <w:t xml:space="preserve">4. Late payments on this Invoice will incur interest at the rate established by the Spanish Late Payment Directive (Ley 3/2004), currently set at the European Central Bank reference rate plus eight percentage points.</w:t>
      </w:r>
    </w:p>
    <w:p>
      <w:pPr>
        <w:pStyle w:val="BodyText"/>
      </w:pPr>
      <w:r>
        <w:t xml:space="preserve">5. The Human Resources Manager retains full intellectual property rights over all methodologies, frameworks, and proprietary tools developed during the engagement period. A limited license for internal use is granted to the client.</w:t>
      </w:r>
    </w:p>
    <w:p>
      <w:pPr>
        <w:pStyle w:val="BodyText"/>
      </w:pPr>
      <w:r>
        <w:t xml:space="preserve">6. Any disputes arising from this Invoice or the underlying services shall be subject to the exclusive jurisdiction of the courts of Barcelona, Spain, in accordance with the governing law of the Kingdom of Spain.</w:t>
      </w:r>
    </w:p>
    <w:p>
      <w:pPr>
        <w:pStyle w:val="BodyText"/>
      </w:pPr>
      <w:r>
        <w:t xml:space="preserve">7. This Invoice constitutes a valid tax document for accounting and fiscal purposes. A digital copy is available upon request via the email address listed above.</w:t>
      </w:r>
    </w:p>
    <w:bookmarkEnd w:id="26"/>
    <w:p>
      <w:pPr>
        <w:pStyle w:val="BodyText"/>
      </w:pPr>
      <w:r>
        <w:rPr>
          <w:bCs/>
          <w:b/>
        </w:rPr>
        <w:t xml:space="preserve">TalentBridge Consulting S.L.</w:t>
      </w:r>
      <w:r>
        <w:t xml:space="preserve"> </w:t>
      </w:r>
      <w:r>
        <w:t xml:space="preserve">| Registered in the Mercantile Registry of Barcelona, Volume 42, Folio 18, Sheet B-65432109</w:t>
      </w:r>
    </w:p>
    <w:p>
      <w:pPr>
        <w:pStyle w:val="BodyText"/>
      </w:pPr>
      <w:r>
        <w:t xml:space="preserve">Human Resources Manager Division | Carrer de la Marina, 142, 08005 Barcelona, Spain</w:t>
      </w:r>
    </w:p>
    <w:p>
      <w:pPr>
        <w:pStyle w:val="BodyText"/>
      </w:pPr>
      <w:r>
        <w:t xml:space="preserve">This Invoice was generated electronically on 15 June 2025. For queries regarding this document, please contact our billing department at billing@talentbridge.es or +34 932 555 018.</w:t>
      </w:r>
    </w:p>
    <w:p>
      <w:pPr>
        <w:pStyle w:val="BodyText"/>
      </w:pPr>
      <w:r>
        <w:t xml:space="preserve">Thank you for your business. We value our partnership and look forward to continuing to support your Human Resources Manager needs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Spain Barcelona</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