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hr-consulting-ltd."/>
    <w:p>
      <w:pPr>
        <w:pStyle w:val="Heading1"/>
      </w:pPr>
      <w:r>
        <w:t xml:space="preserve">Meridian HR Consulting Ltd.</w:t>
      </w:r>
    </w:p>
    <w:p>
      <w:pPr>
        <w:pStyle w:val="FirstParagraph"/>
      </w:pPr>
      <w:r>
        <w:t xml:space="preserve">Human Resources Management Solutions</w:t>
      </w:r>
    </w:p>
    <w:p>
      <w:pPr>
        <w:pStyle w:val="BodyText"/>
      </w:pPr>
      <w:r>
        <w:t xml:space="preserve">Levent Avenue, No. 142, 34330</w:t>
      </w:r>
    </w:p>
    <w:p>
      <w:pPr>
        <w:pStyle w:val="BodyText"/>
      </w:pPr>
      <w:r>
        <w:t xml:space="preserve">Istanbul, Turkey</w:t>
      </w:r>
    </w:p>
    <w:p>
      <w:pPr>
        <w:pStyle w:val="BodyText"/>
      </w:pPr>
      <w:r>
        <w:t xml:space="preserve">Tax ID (VKN): 1234567890</w:t>
      </w:r>
    </w:p>
    <w:p>
      <w:pPr>
        <w:pStyle w:val="BodyText"/>
      </w:pPr>
      <w:r>
        <w:t xml:space="preserve">Tel: +90 212 555 0142</w:t>
      </w:r>
    </w:p>
    <w:p>
      <w:pPr>
        <w:pStyle w:val="BodyText"/>
      </w:pPr>
      <w:r>
        <w:t xml:space="preserve">Email: billing@meridianhr.com.tr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Istanbul, Turkey</w:t>
      </w:r>
    </w:p>
    <w:bookmarkEnd w:id="21"/>
    <w:bookmarkStart w:id="22" w:name="bill-to"/>
    <w:p>
      <w:pPr>
        <w:pStyle w:val="Heading3"/>
      </w:pPr>
      <w:r>
        <w:t xml:space="preserve">Bill To</w:t>
      </w:r>
    </w:p>
    <w:p>
      <w:pPr>
        <w:pStyle w:val="FirstParagraph"/>
      </w:pPr>
      <w:r>
        <w:rPr>
          <w:bCs/>
          <w:b/>
        </w:rPr>
        <w:t xml:space="preserve">Anadolu Teknoloji A.Ş.</w:t>
      </w:r>
    </w:p>
    <w:p>
      <w:pPr>
        <w:pStyle w:val="BodyText"/>
      </w:pPr>
      <w:r>
        <w:t xml:space="preserve">Attn: Mr. Kemal Yılmaz, CEO</w:t>
      </w:r>
    </w:p>
    <w:p>
      <w:pPr>
        <w:pStyle w:val="BodyText"/>
      </w:pPr>
      <w:r>
        <w:t xml:space="preserve">Kadıköy, Moda Cad. No. 88</w:t>
      </w:r>
    </w:p>
    <w:p>
      <w:pPr>
        <w:pStyle w:val="BodyText"/>
      </w:pPr>
      <w:r>
        <w:t xml:space="preserve">34710 Istanbul, Turkey</w:t>
      </w:r>
    </w:p>
    <w:p>
      <w:pPr>
        <w:pStyle w:val="BodyText"/>
      </w:pPr>
      <w:r>
        <w:t xml:space="preserve">Tax ID (VKN): 9876543210</w:t>
      </w:r>
    </w:p>
    <w:p>
      <w:pPr>
        <w:pStyle w:val="BodyText"/>
      </w:pPr>
      <w:r>
        <w:t xml:space="preserve">Email: finance@anatolitek.com.tr</w:t>
      </w:r>
    </w:p>
    <w:bookmarkEnd w:id="22"/>
    <w:bookmarkStart w:id="23" w:name="service-provider"/>
    <w:p>
      <w:pPr>
        <w:pStyle w:val="Heading3"/>
      </w:pPr>
      <w:r>
        <w:t xml:space="preserve">Service Provider</w:t>
      </w:r>
    </w:p>
    <w:p>
      <w:pPr>
        <w:pStyle w:val="FirstParagraph"/>
      </w:pPr>
      <w:r>
        <w:rPr>
          <w:bCs/>
          <w:b/>
        </w:rPr>
        <w:t xml:space="preserve">Meridian HR Consulting Ltd.</w:t>
      </w:r>
    </w:p>
    <w:p>
      <w:pPr>
        <w:pStyle w:val="BodyText"/>
      </w:pPr>
      <w:r>
        <w:t xml:space="preserve">Lead Consultant: Dr. Ayşe Demir</w:t>
      </w:r>
    </w:p>
    <w:p>
      <w:pPr>
        <w:pStyle w:val="BodyText"/>
      </w:pPr>
      <w:r>
        <w:t xml:space="preserve">Human Resources Manager – Senior</w:t>
      </w:r>
    </w:p>
    <w:p>
      <w:pPr>
        <w:pStyle w:val="BodyText"/>
      </w:pPr>
      <w:r>
        <w:t xml:space="preserve">Levent, Beşiktaş</w:t>
      </w:r>
    </w:p>
    <w:p>
      <w:pPr>
        <w:pStyle w:val="BodyText"/>
      </w:pPr>
      <w:r>
        <w:t xml:space="preserve">34330 Istanbul, Turkey</w:t>
      </w:r>
    </w:p>
    <w:p>
      <w:pPr>
        <w:pStyle w:val="BodyText"/>
      </w:pPr>
      <w:r>
        <w:t xml:space="preserve">License No: HR-TR-2019-4471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(TRY)</w:t>
            </w:r>
          </w:p>
        </w:tc>
        <w:tc>
          <w:tcPr/>
          <w:p>
            <w:pPr>
              <w:pStyle w:val="Compact"/>
              <w:jc w:val="left"/>
            </w:pPr>
            <w:r>
              <w:t xml:space="preserve">Hours</w:t>
            </w:r>
          </w:p>
        </w:tc>
        <w:tc>
          <w:tcPr/>
          <w:p>
            <w:pPr>
              <w:pStyle w:val="Compact"/>
              <w:jc w:val="left"/>
            </w:pPr>
            <w:r>
              <w:t xml:space="preserve">Amount (TRY)</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Strategic workforce planning and organizational restructuring advisory for Anadolu Teknoloji A.Ş. The Human Resources Manager conducted a comprehensive analysis of the current organizational structure in Istanbul, identified key talent gaps, and delivered a 45-page strategic roadmap aligned with the company's 2025–2027 growth objectives in the Turkish technology sector.</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c>
          <w:tcPr/>
          <w:p>
            <w:pPr>
              <w:pStyle w:val="Compact"/>
              <w:jc w:val="left"/>
            </w:pPr>
            <w:r>
              <w:t xml:space="preserve">Consulting</w:t>
            </w:r>
          </w:p>
        </w:tc>
      </w:tr>
      <w:tr>
        <w:tc>
          <w:tcPr/>
          <w:p>
            <w:pPr>
              <w:pStyle w:val="Compact"/>
              <w:jc w:val="left"/>
            </w:pPr>
            <w:r>
              <w:t xml:space="preserve">2</w:t>
            </w:r>
          </w:p>
        </w:tc>
        <w:tc>
          <w:tcPr/>
          <w:p>
            <w:pPr>
              <w:pStyle w:val="Compact"/>
              <w:jc w:val="left"/>
            </w:pPr>
            <w:r>
              <w:t xml:space="preserve">End-to-end recruitment and talent acquisition management. The Human Resources Manager sourced, screened, interviewed, and placed 14 senior-level candidates across engineering, product management, and operations departments. All recruitment activities were conducted in compliance with Turkish Labor Law (Law No. 4857) and Istanbul municipal employment regulations.</w:t>
            </w:r>
          </w:p>
        </w:tc>
        <w:tc>
          <w:tcPr/>
          <w:p>
            <w:pPr>
              <w:pStyle w:val="Compact"/>
              <w:jc w:val="left"/>
            </w:pPr>
            <w:r>
              <w:t xml:space="preserve">1,500.00</w:t>
            </w:r>
          </w:p>
        </w:tc>
        <w:tc>
          <w:tcPr/>
          <w:p>
            <w:pPr>
              <w:pStyle w:val="Compact"/>
              <w:jc w:val="left"/>
            </w:pPr>
            <w:r>
              <w:t xml:space="preserve">48</w:t>
            </w:r>
          </w:p>
        </w:tc>
        <w:tc>
          <w:tcPr/>
          <w:p>
            <w:pPr>
              <w:pStyle w:val="Compact"/>
              <w:jc w:val="left"/>
            </w:pPr>
            <w:r>
              <w:t xml:space="preserve">72,000.00</w:t>
            </w:r>
          </w:p>
        </w:tc>
        <w:tc>
          <w:tcPr/>
          <w:p>
            <w:pPr>
              <w:pStyle w:val="Compact"/>
              <w:jc w:val="left"/>
            </w:pPr>
            <w:r>
              <w:t xml:space="preserve">Recruitment</w:t>
            </w:r>
          </w:p>
        </w:tc>
      </w:tr>
      <w:tr>
        <w:tc>
          <w:tcPr/>
          <w:p>
            <w:pPr>
              <w:pStyle w:val="Compact"/>
              <w:jc w:val="left"/>
            </w:pPr>
            <w:r>
              <w:t xml:space="preserve">3</w:t>
            </w:r>
          </w:p>
        </w:tc>
        <w:tc>
          <w:tcPr/>
          <w:p>
            <w:pPr>
              <w:pStyle w:val="Compact"/>
              <w:jc w:val="left"/>
            </w:pPr>
            <w:r>
              <w:t xml:space="preserve">Employee engagement and retention program design. The Human Resources Manager developed and implemented a quarterly engagement survey framework, designed a performance-based incentive structure, and conducted 6 focus group sessions with 120 employees at the Kadıköy headquarters in Istanbul. Results were presented to the board with actionable recommendations.</w:t>
            </w:r>
          </w:p>
        </w:tc>
        <w:tc>
          <w:tcPr/>
          <w:p>
            <w:pPr>
              <w:pStyle w:val="Compact"/>
              <w:jc w:val="left"/>
            </w:pPr>
            <w:r>
              <w:t xml:space="preserve">2,200.00</w:t>
            </w:r>
          </w:p>
        </w:tc>
        <w:tc>
          <w:tcPr/>
          <w:p>
            <w:pPr>
              <w:pStyle w:val="Compact"/>
              <w:jc w:val="left"/>
            </w:pPr>
            <w:r>
              <w:t xml:space="preserve">20</w:t>
            </w:r>
          </w:p>
        </w:tc>
        <w:tc>
          <w:tcPr/>
          <w:p>
            <w:pPr>
              <w:pStyle w:val="Compact"/>
              <w:jc w:val="left"/>
            </w:pPr>
            <w:r>
              <w:t xml:space="preserve">44,000.00</w:t>
            </w:r>
          </w:p>
        </w:tc>
        <w:tc>
          <w:tcPr/>
          <w:p>
            <w:pPr>
              <w:pStyle w:val="Compact"/>
              <w:jc w:val="left"/>
            </w:pPr>
            <w:r>
              <w:t xml:space="preserve">Employee Relations</w:t>
            </w:r>
          </w:p>
        </w:tc>
      </w:tr>
      <w:tr>
        <w:tc>
          <w:tcPr/>
          <w:p>
            <w:pPr>
              <w:pStyle w:val="Compact"/>
              <w:jc w:val="left"/>
            </w:pPr>
            <w:r>
              <w:t xml:space="preserve">4</w:t>
            </w:r>
          </w:p>
        </w:tc>
        <w:tc>
          <w:tcPr/>
          <w:p>
            <w:pPr>
              <w:pStyle w:val="Compact"/>
              <w:jc w:val="left"/>
            </w:pPr>
            <w:r>
              <w:t xml:space="preserve">Compliance audit and labor law advisory. The Human Resources Manager performed a full compliance review of all employment contracts, social security (SGK) filings, overtime records, and workplace health and safety documentation in accordance with Turkish labor legislation. A corrective action plan was issued for 7 identified non-compliance items.</w:t>
            </w:r>
          </w:p>
        </w:tc>
        <w:tc>
          <w:tcPr/>
          <w:p>
            <w:pPr>
              <w:pStyle w:val="Compact"/>
              <w:jc w:val="left"/>
            </w:pPr>
            <w:r>
              <w:t xml:space="preserve">3,000.00</w:t>
            </w:r>
          </w:p>
        </w:tc>
        <w:tc>
          <w:tcPr/>
          <w:p>
            <w:pPr>
              <w:pStyle w:val="Compact"/>
              <w:jc w:val="left"/>
            </w:pPr>
            <w:r>
              <w:t xml:space="preserve">16</w:t>
            </w:r>
          </w:p>
        </w:tc>
        <w:tc>
          <w:tcPr/>
          <w:p>
            <w:pPr>
              <w:pStyle w:val="Compact"/>
              <w:jc w:val="left"/>
            </w:pPr>
            <w:r>
              <w:t xml:space="preserve">48,000.00</w:t>
            </w:r>
          </w:p>
        </w:tc>
        <w:tc>
          <w:tcPr/>
          <w:p>
            <w:pPr>
              <w:pStyle w:val="Compact"/>
              <w:jc w:val="left"/>
            </w:pPr>
            <w:r>
              <w:t xml:space="preserve">Compliance</w:t>
            </w:r>
          </w:p>
        </w:tc>
      </w:tr>
      <w:tr>
        <w:tc>
          <w:tcPr/>
          <w:p>
            <w:pPr>
              <w:pStyle w:val="Compact"/>
              <w:jc w:val="left"/>
            </w:pPr>
            <w:r>
              <w:t xml:space="preserve">5</w:t>
            </w:r>
          </w:p>
        </w:tc>
        <w:tc>
          <w:tcPr/>
          <w:p>
            <w:pPr>
              <w:pStyle w:val="Compact"/>
              <w:jc w:val="left"/>
            </w:pPr>
            <w:r>
              <w:t xml:space="preserve">Leadership development and training program delivery. The Human Resources Manager designed and facilitated a 3-day executive leadership workshop for 25 middle and senior managers at the company's Istanbul office. The program covered strategic decision-making, cross-cultural communication in the Turkish business environment, and change management methodologies.</w:t>
            </w:r>
          </w:p>
        </w:tc>
        <w:tc>
          <w:tcPr/>
          <w:p>
            <w:pPr>
              <w:pStyle w:val="Compact"/>
              <w:jc w:val="left"/>
            </w:pPr>
            <w:r>
              <w:t xml:space="preserve">4,500.00</w:t>
            </w:r>
          </w:p>
        </w:tc>
        <w:tc>
          <w:tcPr/>
          <w:p>
            <w:pPr>
              <w:pStyle w:val="Compact"/>
              <w:jc w:val="left"/>
            </w:pPr>
            <w:r>
              <w:t xml:space="preserve">10</w:t>
            </w:r>
          </w:p>
        </w:tc>
        <w:tc>
          <w:tcPr/>
          <w:p>
            <w:pPr>
              <w:pStyle w:val="Compact"/>
              <w:jc w:val="left"/>
            </w:pPr>
            <w:r>
              <w:t xml:space="preserve">45,000.00</w:t>
            </w:r>
          </w:p>
        </w:tc>
        <w:tc>
          <w:tcPr/>
          <w:p>
            <w:pPr>
              <w:pStyle w:val="Compact"/>
              <w:jc w:val="left"/>
            </w:pPr>
            <w:r>
              <w:t xml:space="preserve">Training</w:t>
            </w:r>
          </w:p>
        </w:tc>
      </w:tr>
      <w:tr>
        <w:tc>
          <w:tcPr/>
          <w:p>
            <w:pPr>
              <w:pStyle w:val="Compact"/>
              <w:jc w:val="left"/>
            </w:pPr>
            <w:r>
              <w:t xml:space="preserve">6</w:t>
            </w:r>
          </w:p>
        </w:tc>
        <w:tc>
          <w:tcPr/>
          <w:p>
            <w:pPr>
              <w:pStyle w:val="Compact"/>
              <w:jc w:val="left"/>
            </w:pPr>
            <w:r>
              <w:t xml:space="preserve">Monthly HR operations management and payroll oversight. The Human Resources Manager supervised the monthly payroll processing for 340 employees, managed leave and attendance records, coordinated with the SGK (Social Security Institution) for statutory contributions, and prepared the monthly HR analytics dashboard for executive review.</w:t>
            </w:r>
          </w:p>
        </w:tc>
        <w:tc>
          <w:tcPr/>
          <w:p>
            <w:pPr>
              <w:pStyle w:val="Compact"/>
              <w:jc w:val="left"/>
            </w:pPr>
            <w:r>
              <w:t xml:space="preserve">1,800.00</w:t>
            </w:r>
          </w:p>
        </w:tc>
        <w:tc>
          <w:tcPr/>
          <w:p>
            <w:pPr>
              <w:pStyle w:val="Compact"/>
              <w:jc w:val="left"/>
            </w:pPr>
            <w:r>
              <w:t xml:space="preserve">24</w:t>
            </w:r>
          </w:p>
        </w:tc>
        <w:tc>
          <w:tcPr/>
          <w:p>
            <w:pPr>
              <w:pStyle w:val="Compact"/>
              <w:jc w:val="left"/>
            </w:pPr>
            <w:r>
              <w:t xml:space="preserve">43,200.00</w:t>
            </w:r>
          </w:p>
        </w:tc>
        <w:tc>
          <w:tcPr/>
          <w:p>
            <w:pPr>
              <w:pStyle w:val="Compact"/>
              <w:jc w:val="left"/>
            </w:pPr>
            <w:r>
              <w:t xml:space="preserve">Operations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285,800.00 TRY</w:t>
            </w:r>
          </w:p>
        </w:tc>
      </w:tr>
      <w:tr>
        <w:tc>
          <w:tcPr/>
          <w:p>
            <w:pPr>
              <w:pStyle w:val="Compact"/>
              <w:jc w:val="left"/>
            </w:pPr>
            <w:r>
              <w:t xml:space="preserve">VAT (KDV) – 20%</w:t>
            </w:r>
          </w:p>
        </w:tc>
        <w:tc>
          <w:tcPr/>
          <w:p>
            <w:pPr>
              <w:pStyle w:val="Compact"/>
              <w:jc w:val="left"/>
            </w:pPr>
            <w:r>
              <w:t xml:space="preserve">57,160.00 TRY</w:t>
            </w:r>
          </w:p>
        </w:tc>
      </w:tr>
      <w:tr>
        <w:tc>
          <w:tcPr/>
          <w:p>
            <w:pPr>
              <w:pStyle w:val="Compact"/>
              <w:jc w:val="left"/>
            </w:pPr>
            <w:r>
              <w:t xml:space="preserve">Withholding Tax (Stopaj) – 5%</w:t>
            </w:r>
          </w:p>
        </w:tc>
        <w:tc>
          <w:tcPr/>
          <w:p>
            <w:pPr>
              <w:pStyle w:val="Compact"/>
              <w:jc w:val="left"/>
            </w:pPr>
            <w:r>
              <w:t xml:space="preserve">14,290.00 TRY</w:t>
            </w:r>
          </w:p>
        </w:tc>
      </w:tr>
      <w:tr>
        <w:tc>
          <w:tcPr/>
          <w:p>
            <w:pPr>
              <w:pStyle w:val="Compact"/>
              <w:jc w:val="left"/>
            </w:pPr>
            <w:r>
              <w:t xml:space="preserve">Grand Total (Net Payable)</w:t>
            </w:r>
          </w:p>
        </w:tc>
        <w:tc>
          <w:tcPr/>
          <w:p>
            <w:pPr>
              <w:pStyle w:val="Compact"/>
              <w:jc w:val="left"/>
            </w:pPr>
            <w:r>
              <w:t xml:space="preserve">357,250.00 TRY</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in accordance with the Service Agreement (Contract No. AT-MHR-2025-012) signed on 1 February 2025 between Meridian HR Consulting Ltd. and Anadolu Teknoloji A.Ş., both registered in Istanbul, Turkey.</w:t>
      </w:r>
    </w:p>
    <w:p>
      <w:pPr>
        <w:pStyle w:val="BodyText"/>
      </w:pPr>
      <w:r>
        <w:rPr>
          <w:bCs/>
          <w:b/>
        </w:rPr>
        <w:t xml:space="preserve">2.</w:t>
      </w:r>
      <w:r>
        <w:t xml:space="preserve"> </w:t>
      </w:r>
      <w:r>
        <w:t xml:space="preserve">Payment is due within 15 calendar days from the issue date of this invoice. Late payments shall accrue interest at the statutory rate determined by the Republic of Turkey Ministry of Treasury and Finance.</w:t>
      </w:r>
    </w:p>
    <w:p>
      <w:pPr>
        <w:pStyle w:val="BodyText"/>
      </w:pPr>
      <w:r>
        <w:rPr>
          <w:bCs/>
          <w:b/>
        </w:rPr>
        <w:t xml:space="preserve">3.</w:t>
      </w:r>
      <w:r>
        <w:t xml:space="preserve"> </w:t>
      </w:r>
      <w:r>
        <w:t xml:space="preserve">All services rendered by the Human Resources Manager were performed in full compliance with Turkish Labor Law (4857), the Turkish Code of Obligations, and applicable Istanbul municipal regulations governing professional services.</w:t>
      </w:r>
    </w:p>
    <w:p>
      <w:pPr>
        <w:pStyle w:val="BodyText"/>
      </w:pPr>
      <w:r>
        <w:rPr>
          <w:bCs/>
          <w:b/>
        </w:rPr>
        <w:t xml:space="preserve">4.</w:t>
      </w:r>
      <w:r>
        <w:t xml:space="preserve"> </w:t>
      </w:r>
      <w:r>
        <w:t xml:space="preserve">This invoice is valid for 90 days from the issue date. Any disputes regarding the scope or quality of services must be raised in writing within 10 business days of receipt.</w:t>
      </w:r>
    </w:p>
    <w:p>
      <w:pPr>
        <w:pStyle w:val="BodyText"/>
      </w:pPr>
      <w:r>
        <w:rPr>
          <w:bCs/>
          <w:b/>
        </w:rPr>
        <w:t xml:space="preserve">5.</w:t>
      </w:r>
      <w:r>
        <w:t xml:space="preserve"> </w:t>
      </w:r>
      <w:r>
        <w:t xml:space="preserve">The Human Resources Manager (Dr. Ayşe Demir) holds a valid professional license issued by the Istanbul Chamber of Commerce and is registered with the Turkish Ministry of Labor and Social Security for the provision of HR consulting services.</w:t>
      </w:r>
    </w:p>
    <w:p>
      <w:pPr>
        <w:pStyle w:val="BodyText"/>
      </w:pPr>
      <w:r>
        <w:rPr>
          <w:bCs/>
          <w:b/>
        </w:rPr>
        <w:t xml:space="preserve">6.</w:t>
      </w:r>
      <w:r>
        <w:t xml:space="preserve"> </w:t>
      </w:r>
      <w:r>
        <w:t xml:space="preserve">All personal data processed in connection with this invoice and the underlying services are handled in compliance with the Turkish Personal Data Protection Law (KVKK – Law No. 6698).</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İş Bankası A.Ş.</w:t>
      </w:r>
    </w:p>
    <w:p>
      <w:pPr>
        <w:pStyle w:val="BodyText"/>
      </w:pPr>
      <w:r>
        <w:rPr>
          <w:bCs/>
          <w:b/>
        </w:rPr>
        <w:t xml:space="preserve">Branch:</w:t>
      </w:r>
      <w:r>
        <w:t xml:space="preserve"> </w:t>
      </w:r>
      <w:r>
        <w:t xml:space="preserve">Levent, Istanbul</w:t>
      </w:r>
    </w:p>
    <w:p>
      <w:pPr>
        <w:pStyle w:val="BodyText"/>
      </w:pPr>
      <w:r>
        <w:rPr>
          <w:bCs/>
          <w:b/>
        </w:rPr>
        <w:t xml:space="preserve">Account Name:</w:t>
      </w:r>
      <w:r>
        <w:t xml:space="preserve"> </w:t>
      </w:r>
      <w:r>
        <w:t xml:space="preserve">Meridian HR Consulting Ltd.</w:t>
      </w:r>
    </w:p>
    <w:p>
      <w:pPr>
        <w:pStyle w:val="BodyText"/>
      </w:pPr>
      <w:r>
        <w:rPr>
          <w:bCs/>
          <w:b/>
        </w:rPr>
        <w:t xml:space="preserve">IBAN:</w:t>
      </w:r>
      <w:r>
        <w:t xml:space="preserve"> </w:t>
      </w:r>
      <w:r>
        <w:t xml:space="preserve">TR33 0006 4000 0011 2345 6789 01</w:t>
      </w:r>
    </w:p>
    <w:p>
      <w:pPr>
        <w:pStyle w:val="BodyText"/>
      </w:pPr>
      <w:r>
        <w:rPr>
          <w:bCs/>
          <w:b/>
        </w:rPr>
        <w:t xml:space="preserve">SWIFT/BIC:</w:t>
      </w:r>
      <w:r>
        <w:t xml:space="preserve"> </w:t>
      </w:r>
      <w:r>
        <w:t xml:space="preserve">ISBA TR IS</w:t>
      </w:r>
    </w:p>
    <w:p>
      <w:pPr>
        <w:pStyle w:val="BodyText"/>
      </w:pPr>
      <w:r>
        <w:rPr>
          <w:bCs/>
          <w:b/>
        </w:rPr>
        <w:t xml:space="preserve">Reference:</w:t>
      </w:r>
      <w:r>
        <w:t xml:space="preserve"> </w:t>
      </w:r>
      <w:r>
        <w:t xml:space="preserve">MHR-2025-00847</w:t>
      </w:r>
    </w:p>
    <w:bookmarkEnd w:id="25"/>
    <w:bookmarkStart w:id="26" w:name="payment-terms"/>
    <w:p>
      <w:pPr>
        <w:pStyle w:val="Heading3"/>
      </w:pPr>
      <w:r>
        <w:t xml:space="preserve">Payment Terms</w:t>
      </w:r>
    </w:p>
    <w:p>
      <w:pPr>
        <w:pStyle w:val="FirstParagraph"/>
      </w:pPr>
      <w:r>
        <w:rPr>
          <w:bCs/>
          <w:b/>
        </w:rPr>
        <w:t xml:space="preserve">Method:</w:t>
      </w:r>
      <w:r>
        <w:t xml:space="preserve"> </w:t>
      </w:r>
      <w:r>
        <w:t xml:space="preserve">Bank Transfer (EFT/Havale)</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Turkish Lira (TRY)</w:t>
      </w:r>
    </w:p>
    <w:p>
      <w:pPr>
        <w:pStyle w:val="BodyText"/>
      </w:pPr>
      <w:r>
        <w:rPr>
          <w:bCs/>
          <w:b/>
        </w:rPr>
        <w:t xml:space="preserve">Early Payment Discount:</w:t>
      </w:r>
      <w:r>
        <w:t xml:space="preserve"> </w:t>
      </w:r>
      <w:r>
        <w:t xml:space="preserve">2% if paid before 22 June 2025</w:t>
      </w:r>
    </w:p>
    <w:p>
      <w:pPr>
        <w:pStyle w:val="BodyText"/>
      </w:pPr>
      <w:r>
        <w:rPr>
          <w:bCs/>
          <w:b/>
        </w:rPr>
        <w:t xml:space="preserve">Late Payment Penalty:</w:t>
      </w:r>
      <w:r>
        <w:t xml:space="preserve"> </w:t>
      </w:r>
      <w:r>
        <w:t xml:space="preserve">Statutory interest per T.C. law</w:t>
      </w:r>
    </w:p>
    <w:p>
      <w:pPr>
        <w:pStyle w:val="BodyText"/>
      </w:pPr>
      <w:r>
        <w:rPr>
          <w:bCs/>
          <w:b/>
        </w:rPr>
        <w:t xml:space="preserve">Contact:</w:t>
      </w:r>
      <w:r>
        <w:t xml:space="preserve"> </w:t>
      </w:r>
      <w:r>
        <w:t xml:space="preserve">billing@meridianhr.com.tr</w:t>
      </w:r>
    </w:p>
    <w:bookmarkEnd w:id="26"/>
    <w:p>
      <w:pPr>
        <w:pStyle w:val="BodyText"/>
      </w:pPr>
      <w:r>
        <w:rPr>
          <w:bCs/>
          <w:b/>
        </w:rPr>
        <w:t xml:space="preserve">Meridian HR Consulting Ltd.</w:t>
      </w:r>
      <w:r>
        <w:t xml:space="preserve"> </w:t>
      </w:r>
      <w:r>
        <w:t xml:space="preserve">– Human Resources Management Solutions | Istanbul, Turkey</w:t>
      </w:r>
    </w:p>
    <w:p>
      <w:pPr>
        <w:pStyle w:val="BodyText"/>
      </w:pPr>
      <w:r>
        <w:t xml:space="preserve">Registered Address: Levent Avenue, No. 142, 34330 Beşiktaş, Istanbul, Turkey | Tax ID: 1234567890</w:t>
      </w:r>
    </w:p>
    <w:p>
      <w:pPr>
        <w:pStyle w:val="BodyText"/>
      </w:pPr>
      <w:r>
        <w:t xml:space="preserve">This invoice was generated electronically and is valid without a physical signature in accordance with Turkish e-invoicing regulations (GİB).</w:t>
      </w:r>
    </w:p>
    <w:p>
      <w:pPr>
        <w:pStyle w:val="BodyText"/>
      </w:pPr>
      <w:r>
        <w:t xml:space="preserve">Thank you for your business. We look forward to continuing our partnership in delivering exceptional Human Resources Manager services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Turkey Istanbul</dc:title>
  <dc:creator/>
  <dc:language>en</dc:language>
  <cp:keywords/>
  <dcterms:created xsi:type="dcterms:W3CDTF">2026-10-10T01:55:38Z</dcterms:created>
  <dcterms:modified xsi:type="dcterms:W3CDTF">2026-10-10T01:55:38Z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