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meridian-hr-consulting-llc"/>
    <w:p>
      <w:pPr>
        <w:pStyle w:val="Heading1"/>
      </w:pPr>
      <w:r>
        <w:t xml:space="preserve">Meridian HR Consulting LLC</w:t>
      </w:r>
    </w:p>
    <w:p>
      <w:pPr>
        <w:pStyle w:val="FirstParagraph"/>
      </w:pPr>
      <w:r>
        <w:t xml:space="preserve">Office 1204, Level 12, Al Reem Island Tower</w:t>
      </w:r>
    </w:p>
    <w:p>
      <w:pPr>
        <w:pStyle w:val="BodyText"/>
      </w:pPr>
      <w:r>
        <w:t xml:space="preserve">Abu Dhabi, United Arab Emirates</w:t>
      </w:r>
    </w:p>
    <w:p>
      <w:pPr>
        <w:pStyle w:val="BodyText"/>
      </w:pPr>
      <w:r>
        <w:t xml:space="preserve">Tel: +971 2 445 6789 | Email: billing@meridianhr.ae</w:t>
      </w:r>
    </w:p>
    <w:p>
      <w:pPr>
        <w:pStyle w:val="BodyText"/>
      </w:pPr>
      <w:r>
        <w:t xml:space="preserve">TRN: 100456789000003 | License No: AD-2019-45821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MHR-2025-00487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p>
      <w:pPr>
        <w:pStyle w:val="BodyText"/>
      </w:pPr>
      <w:r>
        <w:t xml:space="preserve">UNPAID</w:t>
      </w:r>
    </w:p>
    <w:bookmarkEnd w:id="21"/>
    <w:bookmarkStart w:id="22" w:name="billed-to"/>
    <w:p>
      <w:pPr>
        <w:pStyle w:val="Heading3"/>
      </w:pPr>
      <w:r>
        <w:t xml:space="preserve">Billed To</w:t>
      </w:r>
    </w:p>
    <w:p>
      <w:pPr>
        <w:pStyle w:val="FirstParagraph"/>
      </w:pPr>
      <w:r>
        <w:rPr>
          <w:bCs/>
          <w:b/>
        </w:rPr>
        <w:t xml:space="preserve">Al Noor Industrial Group FZE</w:t>
      </w:r>
    </w:p>
    <w:p>
      <w:pPr>
        <w:pStyle w:val="BodyText"/>
      </w:pPr>
      <w:r>
        <w:t xml:space="preserve">Attn: Mr. Khalid Al Mansoori, Chief Executive Officer</w:t>
      </w:r>
    </w:p>
    <w:p>
      <w:pPr>
        <w:pStyle w:val="BodyText"/>
      </w:pPr>
      <w:r>
        <w:t xml:space="preserve">Plot 45, Industrial Zone 3</w:t>
      </w:r>
    </w:p>
    <w:p>
      <w:pPr>
        <w:pStyle w:val="BodyText"/>
      </w:pPr>
      <w:r>
        <w:t xml:space="preserve">Mussafah, Abu Dhabi, United Arab Emirates</w:t>
      </w:r>
    </w:p>
    <w:p>
      <w:pPr>
        <w:pStyle w:val="BodyText"/>
      </w:pPr>
      <w:r>
        <w:t xml:space="preserve">Tel: +971 2 660 1234</w:t>
      </w:r>
    </w:p>
    <w:p>
      <w:pPr>
        <w:pStyle w:val="BodyText"/>
      </w:pPr>
      <w:r>
        <w:t xml:space="preserve">Email: finance@alnoorind.ae</w:t>
      </w:r>
    </w:p>
    <w:bookmarkEnd w:id="22"/>
    <w:bookmarkStart w:id="23" w:name="billed-by"/>
    <w:p>
      <w:pPr>
        <w:pStyle w:val="Heading3"/>
      </w:pPr>
      <w:r>
        <w:t xml:space="preserve">Billed By</w:t>
      </w:r>
    </w:p>
    <w:p>
      <w:pPr>
        <w:pStyle w:val="FirstParagraph"/>
      </w:pPr>
      <w:r>
        <w:rPr>
          <w:bCs/>
          <w:b/>
        </w:rPr>
        <w:t xml:space="preserve">Meridian HR Consulting LLC</w:t>
      </w:r>
    </w:p>
    <w:p>
      <w:pPr>
        <w:pStyle w:val="BodyText"/>
      </w:pPr>
      <w:r>
        <w:t xml:space="preserve">Attn: Ms. Fatima Al Rashidi, Lead Human Resources Manager</w:t>
      </w:r>
    </w:p>
    <w:p>
      <w:pPr>
        <w:pStyle w:val="BodyText"/>
      </w:pPr>
      <w:r>
        <w:t xml:space="preserve">Office 1204, Level 12, Al Reem Island Tower</w:t>
      </w:r>
    </w:p>
    <w:p>
      <w:pPr>
        <w:pStyle w:val="BodyText"/>
      </w:pPr>
      <w:r>
        <w:t xml:space="preserve">Abu Dhabi, United Arab Emirates</w:t>
      </w:r>
    </w:p>
    <w:p>
      <w:pPr>
        <w:pStyle w:val="BodyText"/>
      </w:pPr>
      <w:r>
        <w:t xml:space="preserve">Tel: +971 2 445 6789</w:t>
      </w:r>
    </w:p>
    <w:p>
      <w:pPr>
        <w:pStyle w:val="BodyText"/>
      </w:pPr>
      <w:r>
        <w:t xml:space="preserve">Email: billing@meridianhr.ae</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(AED)</w:t>
            </w:r>
          </w:p>
        </w:tc>
        <w:tc>
          <w:tcPr/>
          <w:p>
            <w:pPr>
              <w:pStyle w:val="Compact"/>
              <w:jc w:val="left"/>
            </w:pPr>
            <w:r>
              <w:t xml:space="preserve">Hours / Units</w:t>
            </w:r>
          </w:p>
        </w:tc>
        <w:tc>
          <w:tcPr/>
          <w:p>
            <w:pPr>
              <w:pStyle w:val="Compact"/>
              <w:jc w:val="left"/>
            </w:pPr>
            <w:r>
              <w:t xml:space="preserve">Amount (AED)</w:t>
            </w:r>
          </w:p>
        </w:tc>
      </w:tr>
      <w:tr>
        <w:tc>
          <w:tcPr/>
          <w:p>
            <w:pPr>
              <w:pStyle w:val="Compact"/>
              <w:jc w:val="left"/>
            </w:pPr>
            <w:r>
              <w:t xml:space="preserve">1</w:t>
            </w:r>
          </w:p>
        </w:tc>
        <w:tc>
          <w:tcPr/>
          <w:p>
            <w:pPr>
              <w:pStyle w:val="Compact"/>
              <w:jc w:val="left"/>
            </w:pPr>
            <w:r>
              <w:t xml:space="preserve">Retained Human Resources Manager advisory services – strategic workforce planning, organizational design, and talent acquisition strategy for the Abu Dhabi operations division.</w:t>
            </w:r>
          </w:p>
        </w:tc>
        <w:tc>
          <w:tcPr/>
          <w:p>
            <w:pPr>
              <w:pStyle w:val="Compact"/>
              <w:jc w:val="left"/>
            </w:pPr>
            <w:r>
              <w:t xml:space="preserve">1,200.00</w:t>
            </w:r>
          </w:p>
        </w:tc>
        <w:tc>
          <w:tcPr/>
          <w:p>
            <w:pPr>
              <w:pStyle w:val="Compact"/>
              <w:jc w:val="left"/>
            </w:pPr>
            <w:r>
              <w:t xml:space="preserve">80 hrs</w:t>
            </w:r>
          </w:p>
        </w:tc>
        <w:tc>
          <w:tcPr/>
          <w:p>
            <w:pPr>
              <w:pStyle w:val="Compact"/>
              <w:jc w:val="left"/>
            </w:pPr>
            <w:r>
              <w:t xml:space="preserve">96,000.00</w:t>
            </w:r>
          </w:p>
        </w:tc>
      </w:tr>
      <w:tr>
        <w:tc>
          <w:tcPr/>
          <w:p>
            <w:pPr>
              <w:pStyle w:val="Compact"/>
              <w:jc w:val="left"/>
            </w:pPr>
            <w:r>
              <w:t xml:space="preserve">2</w:t>
            </w:r>
          </w:p>
        </w:tc>
        <w:tc>
          <w:tcPr/>
          <w:p>
            <w:pPr>
              <w:pStyle w:val="Compact"/>
              <w:jc w:val="left"/>
            </w:pPr>
            <w:r>
              <w:t xml:space="preserve">Comprehensive recruitment and onboarding programme management – sourcing, interviewing, and onboarding of 12 new hires across engineering and operations roles in United Arab Emirates Abu Dhabi facilities.</w:t>
            </w:r>
          </w:p>
        </w:tc>
        <w:tc>
          <w:tcPr/>
          <w:p>
            <w:pPr>
              <w:pStyle w:val="Compact"/>
              <w:jc w:val="left"/>
            </w:pPr>
            <w:r>
              <w:t xml:space="preserve">850.00</w:t>
            </w:r>
          </w:p>
        </w:tc>
        <w:tc>
          <w:tcPr/>
          <w:p>
            <w:pPr>
              <w:pStyle w:val="Compact"/>
              <w:jc w:val="left"/>
            </w:pPr>
            <w:r>
              <w:t xml:space="preserve">48 hrs</w:t>
            </w:r>
          </w:p>
        </w:tc>
        <w:tc>
          <w:tcPr/>
          <w:p>
            <w:pPr>
              <w:pStyle w:val="Compact"/>
              <w:jc w:val="left"/>
            </w:pPr>
            <w:r>
              <w:t xml:space="preserve">40,800.00</w:t>
            </w:r>
          </w:p>
        </w:tc>
      </w:tr>
      <w:tr>
        <w:tc>
          <w:tcPr/>
          <w:p>
            <w:pPr>
              <w:pStyle w:val="Compact"/>
              <w:jc w:val="left"/>
            </w:pPr>
            <w:r>
              <w:t xml:space="preserve">3</w:t>
            </w:r>
          </w:p>
        </w:tc>
        <w:tc>
          <w:tcPr/>
          <w:p>
            <w:pPr>
              <w:pStyle w:val="Compact"/>
              <w:jc w:val="left"/>
            </w:pPr>
            <w:r>
              <w:t xml:space="preserve">Employee relations and grievance resolution – handling of 6 formal employee complaints, conducting mediation sessions, and updating the internal HR policy handbook in compliance with UAE Labour Law (Federal Decree-Law No. 33 of 2021).</w:t>
            </w:r>
          </w:p>
        </w:tc>
        <w:tc>
          <w:tcPr/>
          <w:p>
            <w:pPr>
              <w:pStyle w:val="Compact"/>
              <w:jc w:val="left"/>
            </w:pPr>
            <w:r>
              <w:t xml:space="preserve">950.00</w:t>
            </w:r>
          </w:p>
        </w:tc>
        <w:tc>
          <w:tcPr/>
          <w:p>
            <w:pPr>
              <w:pStyle w:val="Compact"/>
              <w:jc w:val="left"/>
            </w:pPr>
            <w:r>
              <w:t xml:space="preserve">32 hrs</w:t>
            </w:r>
          </w:p>
        </w:tc>
        <w:tc>
          <w:tcPr/>
          <w:p>
            <w:pPr>
              <w:pStyle w:val="Compact"/>
              <w:jc w:val="left"/>
            </w:pPr>
            <w:r>
              <w:t xml:space="preserve">30,400.00</w:t>
            </w:r>
          </w:p>
        </w:tc>
      </w:tr>
      <w:tr>
        <w:tc>
          <w:tcPr/>
          <w:p>
            <w:pPr>
              <w:pStyle w:val="Compact"/>
              <w:jc w:val="left"/>
            </w:pPr>
            <w:r>
              <w:t xml:space="preserve">4</w:t>
            </w:r>
          </w:p>
        </w:tc>
        <w:tc>
          <w:tcPr/>
          <w:p>
            <w:pPr>
              <w:pStyle w:val="Compact"/>
              <w:jc w:val="left"/>
            </w:pPr>
            <w:r>
              <w:t xml:space="preserve">Performance management system implementation – design and rollout of a KPI-based appraisal framework, including manager training workshops conducted at the client's Abu Dhabi headquarters.</w:t>
            </w:r>
          </w:p>
        </w:tc>
        <w:tc>
          <w:tcPr/>
          <w:p>
            <w:pPr>
              <w:pStyle w:val="Compact"/>
              <w:jc w:val="left"/>
            </w:pPr>
            <w:r>
              <w:t xml:space="preserve">1,100.00</w:t>
            </w:r>
          </w:p>
        </w:tc>
        <w:tc>
          <w:tcPr/>
          <w:p>
            <w:pPr>
              <w:pStyle w:val="Compact"/>
              <w:jc w:val="left"/>
            </w:pPr>
            <w:r>
              <w:t xml:space="preserve">40 hrs</w:t>
            </w:r>
          </w:p>
        </w:tc>
        <w:tc>
          <w:tcPr/>
          <w:p>
            <w:pPr>
              <w:pStyle w:val="Compact"/>
              <w:jc w:val="left"/>
            </w:pPr>
            <w:r>
              <w:t xml:space="preserve">44,000.00</w:t>
            </w:r>
          </w:p>
        </w:tc>
      </w:tr>
      <w:tr>
        <w:tc>
          <w:tcPr/>
          <w:p>
            <w:pPr>
              <w:pStyle w:val="Compact"/>
              <w:jc w:val="left"/>
            </w:pPr>
            <w:r>
              <w:t xml:space="preserve">5</w:t>
            </w:r>
          </w:p>
        </w:tc>
        <w:tc>
          <w:tcPr/>
          <w:p>
            <w:pPr>
              <w:pStyle w:val="Compact"/>
              <w:jc w:val="left"/>
            </w:pPr>
            <w:r>
              <w:t xml:space="preserve">Compensation and benefits benchmarking study – market salary survey analysis for 200+ roles aligned with Abu Dhabi and wider UAE industry standards, including end-of-service benefit calculations.</w:t>
            </w:r>
          </w:p>
        </w:tc>
        <w:tc>
          <w:tcPr/>
          <w:p>
            <w:pPr>
              <w:pStyle w:val="Compact"/>
              <w:jc w:val="left"/>
            </w:pPr>
            <w:r>
              <w:t xml:space="preserve">1,500.00</w:t>
            </w:r>
          </w:p>
        </w:tc>
        <w:tc>
          <w:tcPr/>
          <w:p>
            <w:pPr>
              <w:pStyle w:val="Compact"/>
              <w:jc w:val="left"/>
            </w:pPr>
            <w:r>
              <w:t xml:space="preserve">24 hrs</w:t>
            </w:r>
          </w:p>
        </w:tc>
        <w:tc>
          <w:tcPr/>
          <w:p>
            <w:pPr>
              <w:pStyle w:val="Compact"/>
              <w:jc w:val="left"/>
            </w:pPr>
            <w:r>
              <w:t xml:space="preserve">36,000.00</w:t>
            </w:r>
          </w:p>
        </w:tc>
      </w:tr>
      <w:tr>
        <w:tc>
          <w:tcPr/>
          <w:p>
            <w:pPr>
              <w:pStyle w:val="Compact"/>
              <w:jc w:val="left"/>
            </w:pPr>
            <w:r>
              <w:t xml:space="preserve">6</w:t>
            </w:r>
          </w:p>
        </w:tc>
        <w:tc>
          <w:tcPr/>
          <w:p>
            <w:pPr>
              <w:pStyle w:val="Compact"/>
              <w:jc w:val="left"/>
            </w:pPr>
            <w:r>
              <w:t xml:space="preserve">HR compliance audit and WPS (Wage Protection System) reconciliation – full quarterly audit of payroll records, visa sponsorship files, and Ministry of Human Resources and Emiratisation (MOHRE) compliance for all Abu Dhabi-based employees.</w:t>
            </w:r>
          </w:p>
        </w:tc>
        <w:tc>
          <w:tcPr/>
          <w:p>
            <w:pPr>
              <w:pStyle w:val="Compact"/>
              <w:jc w:val="left"/>
            </w:pPr>
            <w:r>
              <w:t xml:space="preserve">1,300.00</w:t>
            </w:r>
          </w:p>
        </w:tc>
        <w:tc>
          <w:tcPr/>
          <w:p>
            <w:pPr>
              <w:pStyle w:val="Compact"/>
              <w:jc w:val="left"/>
            </w:pPr>
            <w:r>
              <w:t xml:space="preserve">20 hrs</w:t>
            </w:r>
          </w:p>
        </w:tc>
        <w:tc>
          <w:tcPr/>
          <w:p>
            <w:pPr>
              <w:pStyle w:val="Compact"/>
              <w:jc w:val="left"/>
            </w:pPr>
            <w:r>
              <w:t xml:space="preserve">26,000.00</w:t>
            </w:r>
          </w:p>
        </w:tc>
      </w:tr>
      <w:tr>
        <w:tc>
          <w:tcPr/>
          <w:p>
            <w:pPr>
              <w:pStyle w:val="Compact"/>
              <w:jc w:val="left"/>
            </w:pPr>
            <w:r>
              <w:t xml:space="preserve">7</w:t>
            </w:r>
          </w:p>
        </w:tc>
        <w:tc>
          <w:tcPr/>
          <w:p>
            <w:pPr>
              <w:pStyle w:val="Compact"/>
              <w:jc w:val="left"/>
            </w:pPr>
            <w:r>
              <w:t xml:space="preserve">Training and development programme coordination – scheduling and oversight of 4 leadership development workshops and 2 technical upskilling sessions delivered to the Abu Dhabi workforce.</w:t>
            </w:r>
          </w:p>
        </w:tc>
        <w:tc>
          <w:tcPr/>
          <w:p>
            <w:pPr>
              <w:pStyle w:val="Compact"/>
              <w:jc w:val="left"/>
            </w:pPr>
            <w:r>
              <w:t xml:space="preserve">750.00</w:t>
            </w:r>
          </w:p>
        </w:tc>
        <w:tc>
          <w:tcPr/>
          <w:p>
            <w:pPr>
              <w:pStyle w:val="Compact"/>
              <w:jc w:val="left"/>
            </w:pPr>
            <w:r>
              <w:t xml:space="preserve">16 hrs</w:t>
            </w:r>
          </w:p>
        </w:tc>
        <w:tc>
          <w:tcPr/>
          <w:p>
            <w:pPr>
              <w:pStyle w:val="Compact"/>
              <w:jc w:val="left"/>
            </w:pPr>
            <w:r>
              <w:t xml:space="preserve">12,000.00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(AED)</w:t>
            </w:r>
          </w:p>
        </w:tc>
        <w:tc>
          <w:tcPr/>
          <w:p>
            <w:pPr>
              <w:pStyle w:val="Compact"/>
              <w:jc w:val="left"/>
            </w:pPr>
            <w:r>
              <w:t xml:space="preserve">285,200.00</w:t>
            </w:r>
          </w:p>
        </w:tc>
      </w:tr>
      <w:tr>
        <w:tc>
          <w:tcPr/>
          <w:p>
            <w:pPr>
              <w:pStyle w:val="Compact"/>
              <w:jc w:val="left"/>
            </w:pPr>
            <w:r>
              <w:t xml:space="preserve">VAT @ 5% (AED)</w:t>
            </w:r>
          </w:p>
        </w:tc>
        <w:tc>
          <w:tcPr/>
          <w:p>
            <w:pPr>
              <w:pStyle w:val="Compact"/>
              <w:jc w:val="left"/>
            </w:pPr>
            <w:r>
              <w:t xml:space="preserve">14,260.00</w:t>
            </w:r>
          </w:p>
        </w:tc>
      </w:tr>
      <w:tr>
        <w:tc>
          <w:tcPr/>
          <w:p>
            <w:pPr>
              <w:pStyle w:val="Compact"/>
              <w:jc w:val="left"/>
            </w:pPr>
            <w:r>
              <w:t xml:space="preserve">Discount – Annual Retainer (AED)</w:t>
            </w:r>
          </w:p>
        </w:tc>
        <w:tc>
          <w:tcPr/>
          <w:p>
            <w:pPr>
              <w:pStyle w:val="Compact"/>
              <w:jc w:val="left"/>
            </w:pPr>
            <w:r>
              <w:t xml:space="preserve">(5,704.00)</w:t>
            </w:r>
          </w:p>
        </w:tc>
      </w:tr>
      <w:tr>
        <w:tc>
          <w:tcPr/>
          <w:p>
            <w:pPr>
              <w:pStyle w:val="Compact"/>
              <w:jc w:val="left"/>
            </w:pPr>
            <w:r>
              <w:t xml:space="preserve">TOTAL DUE (AED)</w:t>
            </w:r>
          </w:p>
        </w:tc>
        <w:tc>
          <w:tcPr/>
          <w:p>
            <w:pPr>
              <w:pStyle w:val="Compact"/>
              <w:jc w:val="left"/>
            </w:pPr>
            <w:r>
              <w:t xml:space="preserve">293,756.00</w:t>
            </w:r>
          </w:p>
        </w:tc>
      </w:tr>
    </w:tbl>
    <w:bookmarkStart w:id="24" w:name="terms-and-conditions-of-this-invoice"/>
    <w:p>
      <w:pPr>
        <w:pStyle w:val="Heading3"/>
      </w:pPr>
      <w:r>
        <w:t xml:space="preserve">Terms and Conditions of This Invoice</w:t>
      </w:r>
    </w:p>
    <w:p>
      <w:pPr>
        <w:pStyle w:val="FirstParagraph"/>
      </w:pPr>
      <w:r>
        <w:t xml:space="preserve">This Invoice is issued by Meridian HR Consulting LLC, a licensed Human Resources Manager and consulting firm registered in the United Arab Emirates Abu Dhabi, in accordance with the Federal Tax Authority (FTA) regulations governing commercial invoicing in the UAE.</w:t>
      </w:r>
    </w:p>
    <w:p>
      <w:pPr>
        <w:numPr>
          <w:ilvl w:val="0"/>
          <w:numId w:val="1001"/>
        </w:numPr>
        <w:pStyle w:val="Compact"/>
      </w:pPr>
      <w:r>
        <w:rPr>
          <w:bCs/>
          <w:b/>
        </w:rPr>
        <w:t xml:space="preserve">Payment Terms:</w:t>
      </w:r>
      <w:r>
        <w:t xml:space="preserve"> </w:t>
      </w:r>
      <w:r>
        <w:t xml:space="preserve">Payment of the full Invoice amount of AED 293,756.00 is due within 15 calendar days from the Invoice date. Late payments shall attract a penalty of 2% per month as per UAE commercial practice.</w:t>
      </w:r>
    </w:p>
    <w:p>
      <w:pPr>
        <w:numPr>
          <w:ilvl w:val="0"/>
          <w:numId w:val="1001"/>
        </w:numPr>
        <w:pStyle w:val="Compact"/>
      </w:pPr>
      <w:r>
        <w:rPr>
          <w:bCs/>
          <w:b/>
        </w:rPr>
        <w:t xml:space="preserve">Payment Method:</w:t>
      </w:r>
      <w:r>
        <w:t xml:space="preserve"> </w:t>
      </w:r>
      <w:r>
        <w:t xml:space="preserve">Please remit payment via bank transfer to Meridian HR Consulting LLC, Bank: Emirates NBD, Account Name: Meridian HR Consulting LLC, IBAN: AE07026000000000458219601, SWIFT: EMBAEADN. Reference the Invoice number MHR-2025-00487 in all correspondence.</w:t>
      </w:r>
    </w:p>
    <w:p>
      <w:pPr>
        <w:numPr>
          <w:ilvl w:val="0"/>
          <w:numId w:val="1001"/>
        </w:numPr>
        <w:pStyle w:val="Compact"/>
      </w:pPr>
      <w:r>
        <w:rPr>
          <w:bCs/>
          <w:b/>
        </w:rPr>
        <w:t xml:space="preserve">VAT Compliance:</w:t>
      </w:r>
      <w:r>
        <w:t xml:space="preserve"> </w:t>
      </w:r>
      <w:r>
        <w:t xml:space="preserve">The 5% Value Added Tax (VAT) applied on this Invoice is in compliance with the UAE VAT Law (Federal Decree-Law No. 8 of 2017). The Tax Registration Number (TRN) is printed in the header of this Invoice.</w:t>
      </w:r>
    </w:p>
    <w:p>
      <w:pPr>
        <w:numPr>
          <w:ilvl w:val="0"/>
          <w:numId w:val="1001"/>
        </w:numPr>
        <w:pStyle w:val="Compact"/>
      </w:pPr>
      <w:r>
        <w:rPr>
          <w:bCs/>
          <w:b/>
        </w:rPr>
        <w:t xml:space="preserve">Service Scope:</w:t>
      </w:r>
      <w:r>
        <w:t xml:space="preserve"> </w:t>
      </w:r>
      <w:r>
        <w:t xml:space="preserve">All services rendered by the Human Resources Manager team are limited to the scope described in the line items above. Any additional or out-of-scope work will be subject to a separate Invoice and prior written approval from the client.</w:t>
      </w:r>
    </w:p>
    <w:p>
      <w:pPr>
        <w:numPr>
          <w:ilvl w:val="0"/>
          <w:numId w:val="1001"/>
        </w:numPr>
        <w:pStyle w:val="Compact"/>
      </w:pPr>
      <w:r>
        <w:rPr>
          <w:bCs/>
          <w:b/>
        </w:rPr>
        <w:t xml:space="preserve">Dispute Resolution:</w:t>
      </w:r>
      <w:r>
        <w:t xml:space="preserve"> </w:t>
      </w:r>
      <w:r>
        <w:t xml:space="preserve">Any disputes arising from this Invoice or the associated services shall be resolved through the Abu Dhabi Courts in accordance with the laws of the United Arab Emirates. The parties agree to attempt amicable resolution before initiating legal proceedings.</w:t>
      </w:r>
    </w:p>
    <w:p>
      <w:pPr>
        <w:numPr>
          <w:ilvl w:val="0"/>
          <w:numId w:val="1001"/>
        </w:numPr>
        <w:pStyle w:val="Compact"/>
      </w:pPr>
      <w:r>
        <w:rPr>
          <w:bCs/>
          <w:b/>
        </w:rPr>
        <w:t xml:space="preserve">Confidentiality:</w:t>
      </w:r>
      <w:r>
        <w:t xml:space="preserve"> </w:t>
      </w:r>
      <w:r>
        <w:t xml:space="preserve">All employee data, compensation figures, and organizational information shared during the engagement of the Human Resources Manager services are subject to strict confidentiality and shall not be disclosed to third parties without written consent.</w:t>
      </w:r>
    </w:p>
    <w:p>
      <w:pPr>
        <w:numPr>
          <w:ilvl w:val="0"/>
          <w:numId w:val="1001"/>
        </w:numPr>
        <w:pStyle w:val="Compact"/>
      </w:pPr>
      <w:r>
        <w:rPr>
          <w:bCs/>
          <w:b/>
        </w:rPr>
        <w:t xml:space="preserve">Validity:</w:t>
      </w:r>
      <w:r>
        <w:t xml:space="preserve"> </w:t>
      </w:r>
      <w:r>
        <w:t xml:space="preserve">This Invoice is valid for 30 days from the date of issue. After this period, the Human Resources Manager team reserves the right to re-quote rates based on prevailing market conditions in Abu Dhabi.</w:t>
      </w:r>
    </w:p>
    <w:bookmarkEnd w:id="24"/>
    <w:p>
      <w:pPr>
        <w:pStyle w:val="FirstParagraph"/>
      </w:pPr>
      <w:r>
        <w:rPr>
          <w:bCs/>
          <w:b/>
        </w:rPr>
        <w:t xml:space="preserve">Meridian HR Consulting LLC</w:t>
      </w:r>
      <w:r>
        <w:t xml:space="preserve"> </w:t>
      </w:r>
      <w:r>
        <w:t xml:space="preserve">| Office 1204, Level 12, Al Reem Island Tower, Abu Dhabi, United Arab Emirates</w:t>
      </w:r>
    </w:p>
    <w:p>
      <w:pPr>
        <w:pStyle w:val="BodyText"/>
      </w:pPr>
      <w:r>
        <w:t xml:space="preserve">TRN: 100456789000003 | Commercial License: AD-2019-45821 | MOHRE Registration: HR-2020-7845</w:t>
      </w:r>
    </w:p>
    <w:p>
      <w:pPr>
        <w:pStyle w:val="BodyText"/>
      </w:pPr>
      <w:r>
        <w:t xml:space="preserve">This Invoice was generated electronically and is valid without a physical signature. For queries regarding this Invoice, please contact billing@meridianhr.ae or call +971 2 445 6789.</w:t>
      </w:r>
    </w:p>
    <w:p>
      <w:pPr>
        <w:pStyle w:val="BodyText"/>
      </w:pPr>
      <w:r>
        <w:t xml:space="preserve">Thank you for engaging our Human Resources Manager services in the United Arab Emirates Abu Dhabi. We look forward to continuing our professional partnership.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Human Resources Manager Services - United Arab Emirates Abu Dhabi</dc:title>
  <dc:creator/>
  <dc:language>en</dc:language>
  <cp:keywords/>
  <dcterms:created xsi:type="dcterms:W3CDTF">2026-10-10T07:02:20Z</dcterms:created>
  <dcterms:modified xsi:type="dcterms:W3CDTF">2026-10-10T07:02:20Z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