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hr-consulting-llc"/>
    <w:p>
      <w:pPr>
        <w:pStyle w:val="Heading1"/>
      </w:pPr>
      <w:r>
        <w:t xml:space="preserve">Meridian HR Consulting LLC</w:t>
      </w:r>
    </w:p>
    <w:p>
      <w:pPr>
        <w:pStyle w:val="FirstParagraph"/>
      </w:pPr>
      <w:r>
        <w:t xml:space="preserve">Office 1407, Level 14, Burj Khalifa</w:t>
      </w:r>
    </w:p>
    <w:p>
      <w:pPr>
        <w:pStyle w:val="BodyText"/>
      </w:pPr>
      <w:r>
        <w:t xml:space="preserve">Downtown Dubai, United Arab Emirates</w:t>
      </w:r>
    </w:p>
    <w:p>
      <w:pPr>
        <w:pStyle w:val="BodyText"/>
      </w:pPr>
      <w:r>
        <w:t xml:space="preserve">Tel: +971 4 555 0192 | Email: billing@meridianhr.ae</w:t>
      </w:r>
    </w:p>
    <w:p>
      <w:pPr>
        <w:pStyle w:val="BodyText"/>
      </w:pPr>
      <w:r>
        <w:t xml:space="preserve">Trade License No: 1045872 | CR: 2019-45872</w:t>
      </w:r>
    </w:p>
    <w:p>
      <w:pPr>
        <w:pStyle w:val="BodyText"/>
      </w:pPr>
      <w:r>
        <w:t xml:space="preserve">VAT Registration No: 100458720100003</w:t>
      </w:r>
    </w:p>
    <w:p>
      <w:pPr>
        <w:pStyle w:val="BodyText"/>
      </w:pPr>
      <w:r>
        <w:t xml:space="preserve">United Arab Emirates Dubai</w:t>
      </w:r>
    </w:p>
    <w:bookmarkEnd w:id="20"/>
    <w:bookmarkStart w:id="21" w:name="invoice"/>
    <w:p>
      <w:pPr>
        <w:pStyle w:val="Heading2"/>
      </w:pPr>
      <w:r>
        <w:t xml:space="preserve">INVOICE</w:t>
      </w:r>
    </w:p>
    <w:p>
      <w:pPr>
        <w:pStyle w:val="FirstParagraph"/>
      </w:pPr>
      <w:r>
        <w:t xml:space="preserve">Invoice No: MHR-2025-00487</w:t>
      </w:r>
    </w:p>
    <w:p>
      <w:pPr>
        <w:pStyle w:val="BodyText"/>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Al Noor Hospitality Group FZE</w:t>
      </w:r>
    </w:p>
    <w:p>
      <w:pPr>
        <w:pStyle w:val="BodyText"/>
      </w:pPr>
      <w:r>
        <w:t xml:space="preserve">Attn: Mr. Khalid Al Mansoori, Chief Executive Officer</w:t>
      </w:r>
    </w:p>
    <w:p>
      <w:pPr>
        <w:pStyle w:val="BodyText"/>
      </w:pPr>
      <w:r>
        <w:t xml:space="preserve">Head Office, Sheikh Zayed Road</w:t>
      </w:r>
    </w:p>
    <w:p>
      <w:pPr>
        <w:pStyle w:val="BodyText"/>
      </w:pPr>
      <w:r>
        <w:t xml:space="preserve">Dubai, United Arab Emirates</w:t>
      </w:r>
    </w:p>
    <w:p>
      <w:pPr>
        <w:pStyle w:val="BodyText"/>
      </w:pPr>
      <w:r>
        <w:t xml:space="preserve">VAT No: 100987654300003</w:t>
      </w:r>
    </w:p>
    <w:bookmarkEnd w:id="22"/>
    <w:bookmarkStart w:id="23" w:name="service-reference"/>
    <w:p>
      <w:pPr>
        <w:pStyle w:val="Heading3"/>
      </w:pPr>
      <w:r>
        <w:t xml:space="preserve">Service Reference</w:t>
      </w:r>
    </w:p>
    <w:p>
      <w:pPr>
        <w:pStyle w:val="FirstParagraph"/>
      </w:pPr>
      <w:r>
        <w:t xml:space="preserve">Engagement: Human Resources Manager Retainer</w:t>
      </w:r>
    </w:p>
    <w:p>
      <w:pPr>
        <w:pStyle w:val="BodyText"/>
      </w:pPr>
      <w:r>
        <w:t xml:space="preserve">Contract Ref: HRM-ENG-2025-0112</w:t>
      </w:r>
    </w:p>
    <w:p>
      <w:pPr>
        <w:pStyle w:val="BodyText"/>
      </w:pPr>
      <w:r>
        <w:t xml:space="preserve">Period Covered: 1 June 2025 – 30 June 2025</w:t>
      </w:r>
    </w:p>
    <w:p>
      <w:pPr>
        <w:pStyle w:val="BodyText"/>
      </w:pPr>
      <w:r>
        <w:t xml:space="preserve">Location: Dubai, United Arab Emirates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(AED)</w:t>
            </w:r>
          </w:p>
        </w:tc>
        <w:tc>
          <w:tcPr/>
          <w:p>
            <w:pPr>
              <w:pStyle w:val="Compact"/>
              <w:jc w:val="left"/>
            </w:pPr>
            <w:r>
              <w:t xml:space="preserve">Hours</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01</w:t>
            </w:r>
          </w:p>
        </w:tc>
        <w:tc>
          <w:tcPr/>
          <w:p>
            <w:pPr>
              <w:pStyle w:val="Compact"/>
              <w:jc w:val="left"/>
            </w:pPr>
            <w:r>
              <w:t xml:space="preserve">Monthly retainer for Human Resources Manager – strategic workforce planning, talent acquisition oversight, and organizational development for Al Noor Hospitality Group FZE in Dubai, United Arab Emirates</w:t>
            </w:r>
          </w:p>
        </w:tc>
        <w:tc>
          <w:tcPr/>
          <w:p>
            <w:pPr>
              <w:pStyle w:val="Compact"/>
              <w:jc w:val="left"/>
            </w:pPr>
            <w:r>
              <w:t xml:space="preserve">250.00</w:t>
            </w:r>
          </w:p>
        </w:tc>
        <w:tc>
          <w:tcPr/>
          <w:p>
            <w:pPr>
              <w:pStyle w:val="Compact"/>
              <w:jc w:val="left"/>
            </w:pPr>
            <w:r>
              <w:t xml:space="preserve">160</w:t>
            </w:r>
          </w:p>
        </w:tc>
        <w:tc>
          <w:tcPr/>
          <w:p>
            <w:pPr>
              <w:pStyle w:val="Compact"/>
              <w:jc w:val="left"/>
            </w:pPr>
            <w:r>
              <w:t xml:space="preserve">40,000.00</w:t>
            </w:r>
          </w:p>
        </w:tc>
        <w:tc>
          <w:tcPr/>
          <w:p>
            <w:pPr>
              <w:pStyle w:val="Compact"/>
              <w:jc w:val="left"/>
            </w:pPr>
            <w:r>
              <w:t xml:space="preserve">2,000.00</w:t>
            </w:r>
          </w:p>
        </w:tc>
      </w:tr>
      <w:tr>
        <w:tc>
          <w:tcPr/>
          <w:p>
            <w:pPr>
              <w:pStyle w:val="Compact"/>
              <w:jc w:val="left"/>
            </w:pPr>
            <w:r>
              <w:t xml:space="preserve">02</w:t>
            </w:r>
          </w:p>
        </w:tc>
        <w:tc>
          <w:tcPr/>
          <w:p>
            <w:pPr>
              <w:pStyle w:val="Compact"/>
              <w:jc w:val="left"/>
            </w:pPr>
            <w:r>
              <w:t xml:space="preserve">Human Resources Manager – recruitment and onboarding of 12 new employees across front-of-house and back-of-house departments, including visa processing, Emirates ID coordination, and labour contract registration with the Ministry of Human Resources and Emiratisation (MOHRE), United Arab Emirates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Human Resources Manager – performance management system design and implementation, including KPI framework development, 360-degree feedback cycles, and annual appraisal calibration workshops conducted at the client's Dubai office</w:t>
            </w:r>
          </w:p>
        </w:tc>
        <w:tc>
          <w:tcPr/>
          <w:p>
            <w:pPr>
              <w:pStyle w:val="Compact"/>
              <w:jc w:val="left"/>
            </w:pPr>
            <w:r>
              <w:t xml:space="preserve">1,800.00</w:t>
            </w:r>
          </w:p>
        </w:tc>
        <w:tc>
          <w:tcPr/>
          <w:p>
            <w:pPr>
              <w:pStyle w:val="Compact"/>
              <w:jc w:val="left"/>
            </w:pPr>
            <w:r>
              <w:t xml:space="preserve">16</w:t>
            </w:r>
          </w:p>
        </w:tc>
        <w:tc>
          <w:tcPr/>
          <w:p>
            <w:pPr>
              <w:pStyle w:val="Compact"/>
              <w:jc w:val="left"/>
            </w:pPr>
            <w:r>
              <w:t xml:space="preserve">28,800.00</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Human Resources Manager – labour law compliance audit in accordance with Federal Decree-Law No. 33 of 2021 (UAE Labour Law) and Dubai Municipality regulations, including policy review, grievance procedure updates, and end-of-service benefit calculations</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Human Resources Manager – employee engagement and wellness programme design, including quarterly town halls, internal communication strategy, and mental health support initiatives tailored to the multicultural workforce in United Arab Emirates Dubai</w:t>
            </w:r>
          </w:p>
        </w:tc>
        <w:tc>
          <w:tcPr/>
          <w:p>
            <w:pPr>
              <w:pStyle w:val="Compact"/>
              <w:jc w:val="left"/>
            </w:pPr>
            <w:r>
              <w:t xml:space="preserve">1,500.00</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Human Resources Manager – training and development needs analysis, vendor coordination for leadership development programmes, and quarterly learning management system reporting for the Dubai operations</w:t>
            </w:r>
          </w:p>
        </w:tc>
        <w:tc>
          <w:tcPr/>
          <w:p>
            <w:pPr>
              <w:pStyle w:val="Compact"/>
              <w:jc w:val="left"/>
            </w:pPr>
            <w:r>
              <w:t xml:space="preserve">1,600.00</w:t>
            </w:r>
          </w:p>
        </w:tc>
        <w:tc>
          <w:tcPr/>
          <w:p>
            <w:pPr>
              <w:pStyle w:val="Compact"/>
              <w:jc w:val="left"/>
            </w:pPr>
            <w:r>
              <w:t xml:space="preserve">8</w:t>
            </w:r>
          </w:p>
        </w:tc>
        <w:tc>
          <w:tcPr/>
          <w:p>
            <w:pPr>
              <w:pStyle w:val="Compact"/>
              <w:jc w:val="left"/>
            </w:pPr>
            <w:r>
              <w:t xml:space="preserve">12,800.00</w:t>
            </w:r>
          </w:p>
        </w:tc>
        <w:tc>
          <w:tcPr/>
          <w:p>
            <w:pPr>
              <w:pStyle w:val="Compact"/>
              <w:jc w:val="left"/>
            </w:pPr>
            <w:r>
              <w:t xml:space="preserve">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137,400.00</w:t>
            </w:r>
          </w:p>
        </w:tc>
      </w:tr>
      <w:tr>
        <w:tc>
          <w:tcPr/>
          <w:p>
            <w:pPr>
              <w:pStyle w:val="Compact"/>
              <w:jc w:val="left"/>
            </w:pPr>
            <w:r>
              <w:t xml:space="preserve">VAT @ 5% (AED)</w:t>
            </w:r>
          </w:p>
        </w:tc>
        <w:tc>
          <w:tcPr/>
          <w:p>
            <w:pPr>
              <w:pStyle w:val="Compact"/>
              <w:jc w:val="left"/>
            </w:pPr>
            <w:r>
              <w:t xml:space="preserve">6,870.00</w:t>
            </w:r>
          </w:p>
        </w:tc>
      </w:tr>
      <w:tr>
        <w:tc>
          <w:tcPr/>
          <w:p>
            <w:pPr>
              <w:pStyle w:val="Compact"/>
              <w:jc w:val="left"/>
            </w:pPr>
            <w:r>
              <w:t xml:space="preserve">Discount – Annual Retainer (AED)</w:t>
            </w:r>
          </w:p>
        </w:tc>
        <w:tc>
          <w:tcPr/>
          <w:p>
            <w:pPr>
              <w:pStyle w:val="Compact"/>
              <w:jc w:val="left"/>
            </w:pPr>
            <w:r>
              <w:t xml:space="preserve">(2,500.00)</w:t>
            </w:r>
          </w:p>
        </w:tc>
      </w:tr>
      <w:tr>
        <w:tc>
          <w:tcPr/>
          <w:p>
            <w:pPr>
              <w:pStyle w:val="Compact"/>
              <w:jc w:val="left"/>
            </w:pPr>
            <w:r>
              <w:t xml:space="preserve">Grand Total Due (AED)</w:t>
            </w:r>
          </w:p>
        </w:tc>
        <w:tc>
          <w:tcPr/>
          <w:p>
            <w:pPr>
              <w:pStyle w:val="Compact"/>
              <w:jc w:val="left"/>
            </w:pPr>
            <w:r>
              <w:t xml:space="preserve">141,770.00</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AED 141,770.00</w:t>
      </w:r>
      <w:r>
        <w:t xml:space="preserve"> </w:t>
      </w:r>
      <w:r>
        <w:t xml:space="preserve">(One Hundred Forty-One Thousand Seven Hundred Seventy Dirhams only) within thirty (30) calendar days from the date of this Invoice. Payments may be made via bank transfer to the following account:</w:t>
      </w:r>
    </w:p>
    <w:p>
      <w:pPr>
        <w:pStyle w:val="BodyText"/>
      </w:pPr>
      <w:r>
        <w:rPr>
          <w:bCs/>
          <w:b/>
        </w:rPr>
        <w:t xml:space="preserve">Bank:</w:t>
      </w:r>
      <w:r>
        <w:t xml:space="preserve"> </w:t>
      </w:r>
      <w:r>
        <w:t xml:space="preserve">Emirates NBD, Dubai, United Arab Emirates</w:t>
      </w:r>
      <w:r>
        <w:br/>
      </w:r>
      <w:r>
        <w:rPr>
          <w:bCs/>
          <w:b/>
        </w:rPr>
        <w:t xml:space="preserve">Account Name:</w:t>
      </w:r>
      <w:r>
        <w:t xml:space="preserve"> </w:t>
      </w:r>
      <w:r>
        <w:t xml:space="preserve">Meridian HR Consulting LLC</w:t>
      </w:r>
      <w:r>
        <w:br/>
      </w:r>
      <w:r>
        <w:rPr>
          <w:bCs/>
          <w:b/>
        </w:rPr>
        <w:t xml:space="preserve">IBAN:</w:t>
      </w:r>
      <w:r>
        <w:t xml:space="preserve"> </w:t>
      </w:r>
      <w:r>
        <w:t xml:space="preserve">AE07 0240 0000 0000 1234 5678 9</w:t>
      </w:r>
      <w:r>
        <w:br/>
      </w:r>
      <w:r>
        <w:rPr>
          <w:bCs/>
          <w:b/>
        </w:rPr>
        <w:t xml:space="preserve">SWIFT Code:</w:t>
      </w:r>
      <w:r>
        <w:t xml:space="preserve"> </w:t>
      </w:r>
      <w:r>
        <w:t xml:space="preserve">EMIRAEAD</w:t>
      </w:r>
      <w:r>
        <w:br/>
      </w:r>
      <w:r>
        <w:rPr>
          <w:bCs/>
          <w:b/>
        </w:rPr>
        <w:t xml:space="preserve">Reference:</w:t>
      </w:r>
      <w:r>
        <w:t xml:space="preserve"> </w:t>
      </w:r>
      <w:r>
        <w:t xml:space="preserve">MHR-2025-00487</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Federal Tax Authority (FTA) regulations of the United Arab Emirates and the applicable VAT laws in force in Dubai, United Arab Emirates.</w:t>
      </w:r>
    </w:p>
    <w:p>
      <w:pPr>
        <w:numPr>
          <w:ilvl w:val="0"/>
          <w:numId w:val="1001"/>
        </w:numPr>
        <w:pStyle w:val="Compact"/>
      </w:pPr>
      <w:r>
        <w:t xml:space="preserve">All services rendered by the Human Resources Manager are governed by the Master Service Agreement (Contract Ref: HRM-ENG-2025-0112) executed between Meridian HR Consulting LLC and Al Noor Hospitality Group FZE.</w:t>
      </w:r>
    </w:p>
    <w:p>
      <w:pPr>
        <w:numPr>
          <w:ilvl w:val="0"/>
          <w:numId w:val="1001"/>
        </w:numPr>
        <w:pStyle w:val="Compact"/>
      </w:pPr>
      <w:r>
        <w:t xml:space="preserve">Any amount not received by the due date of 15 July 2025 shall be subject to a late payment penalty of 2% per month, in compliance with UAE commercial law.</w:t>
      </w:r>
    </w:p>
    <w:p>
      <w:pPr>
        <w:numPr>
          <w:ilvl w:val="0"/>
          <w:numId w:val="1001"/>
        </w:numPr>
        <w:pStyle w:val="Compact"/>
      </w:pPr>
      <w:r>
        <w:t xml:space="preserve">The Human Resources Manager shall maintain full confidentiality of all employee data, payroll records, and organisational information in strict accordance with the UAE Data Protection Law (Federal Decree-Law No. 45 of 2021).</w:t>
      </w:r>
    </w:p>
    <w:p>
      <w:pPr>
        <w:numPr>
          <w:ilvl w:val="0"/>
          <w:numId w:val="1001"/>
        </w:numPr>
        <w:pStyle w:val="Compact"/>
      </w:pPr>
      <w:r>
        <w:t xml:space="preserve">All services are to be performed in Dubai, United Arab Emirates, unless otherwise agreed in writing by both parties.</w:t>
      </w:r>
    </w:p>
    <w:p>
      <w:pPr>
        <w:numPr>
          <w:ilvl w:val="0"/>
          <w:numId w:val="1001"/>
        </w:numPr>
        <w:pStyle w:val="Compact"/>
      </w:pPr>
      <w:r>
        <w:t xml:space="preserve">This Invoice is valid for 90 days from the date of issue. After this period, the Human Resources Manager reserves the right to re-quote rates based on prevailing market conditions in the United Arab Emirates.</w:t>
      </w:r>
    </w:p>
    <w:p>
      <w:pPr>
        <w:numPr>
          <w:ilvl w:val="0"/>
          <w:numId w:val="1001"/>
        </w:numPr>
        <w:pStyle w:val="Compact"/>
      </w:pPr>
      <w:r>
        <w:t xml:space="preserve">Disputes arising from this Invoice or the associated services shall be resolved through the Dubai International Financial Centre (DIFC) Courts or, at the client's election, through arbitration under the DIFC-LCIA Arbitration Rules.</w:t>
      </w:r>
    </w:p>
    <w:p>
      <w:pPr>
        <w:numPr>
          <w:ilvl w:val="0"/>
          <w:numId w:val="1001"/>
        </w:numPr>
        <w:pStyle w:val="Compact"/>
      </w:pPr>
      <w:r>
        <w:t xml:space="preserve">Meridian HR Consulting LLC is a licensed entity operating under the Department of Economy and Tourism (DET) of Dubai, United Arab Emirates. All engagements comply with the UAE Commercial Companies Law (Federal Law No. 32 of 2021).</w:t>
      </w:r>
    </w:p>
    <w:bookmarkEnd w:id="25"/>
    <w:p>
      <w:pPr>
        <w:pStyle w:val="FirstParagraph"/>
      </w:pPr>
      <w:r>
        <w:rPr>
          <w:bCs/>
          <w:b/>
        </w:rPr>
        <w:t xml:space="preserve">Meridian HR Consulting LLC</w:t>
      </w:r>
      <w:r>
        <w:t xml:space="preserve"> </w:t>
      </w:r>
      <w:r>
        <w:t xml:space="preserve">| Office 1407, Level 14, Burj Khalifa, Downtown Dubai, United Arab Emirates</w:t>
      </w:r>
    </w:p>
    <w:p>
      <w:pPr>
        <w:pStyle w:val="BodyText"/>
      </w:pPr>
      <w:r>
        <w:t xml:space="preserve">Trade License No: 1045872 | VAT No: 100458720100003 | CR: 2019-45872</w:t>
      </w:r>
    </w:p>
    <w:p>
      <w:pPr>
        <w:pStyle w:val="BodyText"/>
      </w:pPr>
      <w:r>
        <w:t xml:space="preserve">This is a computer-generated Invoice and does not require a physical signature. For queries regarding this Invoice, please contact billing@meridianhr.ae or call +971 4 555 0192.</w:t>
      </w:r>
    </w:p>
    <w:p>
      <w:pPr>
        <w:pStyle w:val="BodyText"/>
      </w:pPr>
      <w:r>
        <w:t xml:space="preserve">© 2025 Meridian HR Consulting LLC – All Rights Reserved.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United Arab Emirates Dubai</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