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summit-hr-consulting-group"/>
    <w:p>
      <w:pPr>
        <w:pStyle w:val="Heading1"/>
      </w:pPr>
      <w:r>
        <w:t xml:space="preserve">Summit HR Consulting Group</w:t>
      </w:r>
    </w:p>
    <w:p>
      <w:pPr>
        <w:pStyle w:val="FirstParagraph"/>
      </w:pPr>
      <w:r>
        <w:t xml:space="preserve">4500 Post Oak Boulevard, Suite 1200</w:t>
      </w:r>
    </w:p>
    <w:p>
      <w:pPr>
        <w:pStyle w:val="BodyText"/>
      </w:pPr>
      <w:r>
        <w:t xml:space="preserve">Houston, Texas 77056, United States</w:t>
      </w:r>
    </w:p>
    <w:p>
      <w:pPr>
        <w:pStyle w:val="BodyText"/>
      </w:pPr>
      <w:r>
        <w:t xml:space="preserve">Phone: (713) 555-0142</w:t>
      </w:r>
    </w:p>
    <w:p>
      <w:pPr>
        <w:pStyle w:val="BodyText"/>
      </w:pPr>
      <w:r>
        <w:t xml:space="preserve">Email: billing@summithrconsulting.com</w:t>
      </w:r>
    </w:p>
    <w:p>
      <w:pPr>
        <w:pStyle w:val="BodyText"/>
      </w:pPr>
      <w:r>
        <w:t xml:space="preserve">Tax ID (EIN): 74-2839156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INV-2025-HR-0472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rPr>
          <w:bCs/>
          <w:b/>
        </w:rPr>
        <w:t xml:space="preserve">Service Location:</w:t>
      </w:r>
      <w:r>
        <w:t xml:space="preserve"> </w:t>
      </w:r>
      <w:r>
        <w:t xml:space="preserve">Houston, United States</w:t>
      </w:r>
    </w:p>
    <w:bookmarkEnd w:id="21"/>
    <w:bookmarkStart w:id="22" w:name="bill-to"/>
    <w:p>
      <w:pPr>
        <w:pStyle w:val="Heading3"/>
      </w:pPr>
      <w:r>
        <w:t xml:space="preserve">Bill To</w:t>
      </w:r>
    </w:p>
    <w:p>
      <w:pPr>
        <w:pStyle w:val="FirstParagraph"/>
      </w:pPr>
      <w:r>
        <w:t xml:space="preserve">Gulf Coast Energy Partners LLC</w:t>
      </w:r>
    </w:p>
    <w:p>
      <w:pPr>
        <w:pStyle w:val="BodyText"/>
      </w:pPr>
      <w:r>
        <w:t xml:space="preserve">Attn: Mr. David R. Thompson, Chief Executive Officer</w:t>
      </w:r>
    </w:p>
    <w:p>
      <w:pPr>
        <w:pStyle w:val="BodyText"/>
      </w:pPr>
      <w:r>
        <w:t xml:space="preserve">2200 Smith Street, Floor 34</w:t>
      </w:r>
    </w:p>
    <w:p>
      <w:pPr>
        <w:pStyle w:val="BodyText"/>
      </w:pPr>
      <w:r>
        <w:t xml:space="preserve">Houston, Texas 77002, United States</w:t>
      </w:r>
    </w:p>
    <w:p>
      <w:pPr>
        <w:pStyle w:val="BodyText"/>
      </w:pPr>
      <w:r>
        <w:t xml:space="preserve">Phone: (713) 555-8834</w:t>
      </w:r>
    </w:p>
    <w:p>
      <w:pPr>
        <w:pStyle w:val="BodyText"/>
      </w:pPr>
      <w:r>
        <w:t xml:space="preserve">Email: d.thompson@gulfcoastenergy.com</w:t>
      </w:r>
    </w:p>
    <w:bookmarkEnd w:id="22"/>
    <w:bookmarkStart w:id="23" w:name="service-provider"/>
    <w:p>
      <w:pPr>
        <w:pStyle w:val="Heading3"/>
      </w:pPr>
      <w:r>
        <w:t xml:space="preserve">Service Provider</w:t>
      </w:r>
    </w:p>
    <w:p>
      <w:pPr>
        <w:pStyle w:val="FirstParagraph"/>
      </w:pPr>
      <w:r>
        <w:t xml:space="preserve">Ms. Angela M. Richardson</w:t>
      </w:r>
    </w:p>
    <w:p>
      <w:pPr>
        <w:pStyle w:val="BodyText"/>
      </w:pPr>
      <w:r>
        <w:t xml:space="preserve">Senior Human Resources Manager</w:t>
      </w:r>
    </w:p>
    <w:p>
      <w:pPr>
        <w:pStyle w:val="BodyText"/>
      </w:pPr>
      <w:r>
        <w:t xml:space="preserve">Summit HR Consulting Group</w:t>
      </w:r>
    </w:p>
    <w:p>
      <w:pPr>
        <w:pStyle w:val="BodyText"/>
      </w:pPr>
      <w:r>
        <w:t xml:space="preserve">4500 Post Oak Boulevard, Suite 1200</w:t>
      </w:r>
    </w:p>
    <w:p>
      <w:pPr>
        <w:pStyle w:val="BodyText"/>
      </w:pPr>
      <w:r>
        <w:t xml:space="preserve">Houston, Texas 77056, United States</w:t>
      </w:r>
    </w:p>
    <w:p>
      <w:pPr>
        <w:pStyle w:val="BodyText"/>
      </w:pPr>
      <w:r>
        <w:t xml:space="preserve">SHRM-SCP Certified | PHRi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Workforce Strategy Development</w:t>
            </w:r>
            <w:r>
              <w:t xml:space="preserve"> </w:t>
            </w:r>
            <w:r>
              <w:t xml:space="preserve">The Human Resources Manager conducted a full organizational audit of 340 employees across three Houston, Texas facilities. This included workforce planning, succession mapping, and a 12-month talent acquisition roadmap aligned with Gulf Coast Energy Partners' expansion goals in the United States energy sector.</w:t>
            </w:r>
          </w:p>
        </w:tc>
        <w:tc>
          <w:tcPr/>
          <w:p>
            <w:pPr>
              <w:pStyle w:val="Compact"/>
              <w:jc w:val="left"/>
            </w:pPr>
            <w:r>
              <w:t xml:space="preserve">Jun 02–06, 2025</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Employee Compensation &amp; Benefits Restructuring</w:t>
            </w:r>
            <w:r>
              <w:t xml:space="preserve"> </w:t>
            </w:r>
            <w:r>
              <w:t xml:space="preserve">The Human Resources Manager redesigned the total rewards package to remain competitive within the Houston, United States labor market. Services included salary benchmarking against 45 peer organizations, 401(k) plan optimization, health insurance carrier negotiation, and the development of a new performance-based bonus structure compliant with Texas state labor regulations.</w:t>
            </w:r>
          </w:p>
        </w:tc>
        <w:tc>
          <w:tcPr/>
          <w:p>
            <w:pPr>
              <w:pStyle w:val="Compact"/>
              <w:jc w:val="left"/>
            </w:pPr>
            <w:r>
              <w:t xml:space="preserve">Jun 09–13, 2025</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3</w:t>
            </w:r>
          </w:p>
        </w:tc>
        <w:tc>
          <w:tcPr/>
          <w:p>
            <w:pPr>
              <w:pStyle w:val="Compact"/>
              <w:jc w:val="left"/>
            </w:pPr>
            <w:r>
              <w:t xml:space="preserve">Labor Law Compliance &amp; Policy Overhaul</w:t>
            </w:r>
            <w:r>
              <w:t xml:space="preserve"> </w:t>
            </w:r>
            <w:r>
              <w:t xml:space="preserve">Full review and revision of 27 internal HR policies to ensure full compliance with federal (EEOC, OSHA, FMLA, ADA), Texas state, and Houston municipal labor laws. The Human Resources Manager prepared a 140-page updated Employee Handbook and conducted two all-hands compliance training sessions for management staff in Houston, United States.</w:t>
            </w:r>
          </w:p>
        </w:tc>
        <w:tc>
          <w:tcPr/>
          <w:p>
            <w:pPr>
              <w:pStyle w:val="Compact"/>
              <w:jc w:val="left"/>
            </w:pPr>
            <w:r>
              <w:t xml:space="preserve">Jun 16–20, 2025</w:t>
            </w:r>
          </w:p>
        </w:tc>
        <w:tc>
          <w:tcPr/>
          <w:p>
            <w:pPr>
              <w:pStyle w:val="Compact"/>
              <w:jc w:val="left"/>
            </w:pPr>
            <w:r>
              <w:t xml:space="preserve">28.0</w:t>
            </w:r>
          </w:p>
        </w:tc>
        <w:tc>
          <w:tcPr/>
          <w:p>
            <w:pPr>
              <w:pStyle w:val="Compact"/>
              <w:jc w:val="left"/>
            </w:pPr>
            <w:r>
              <w:t xml:space="preserve">$185.00</w:t>
            </w:r>
          </w:p>
        </w:tc>
        <w:tc>
          <w:tcPr/>
          <w:p>
            <w:pPr>
              <w:pStyle w:val="Compact"/>
              <w:jc w:val="left"/>
            </w:pPr>
            <w:r>
              <w:t xml:space="preserve">$5,180.00</w:t>
            </w:r>
          </w:p>
        </w:tc>
      </w:tr>
      <w:tr>
        <w:tc>
          <w:tcPr/>
          <w:p>
            <w:pPr>
              <w:pStyle w:val="Compact"/>
              <w:jc w:val="left"/>
            </w:pPr>
            <w:r>
              <w:t xml:space="preserve">4</w:t>
            </w:r>
          </w:p>
        </w:tc>
        <w:tc>
          <w:tcPr/>
          <w:p>
            <w:pPr>
              <w:pStyle w:val="Compact"/>
              <w:jc w:val="left"/>
            </w:pPr>
            <w:r>
              <w:t xml:space="preserve">Recruitment &amp; Onboarding Program Design</w:t>
            </w:r>
            <w:r>
              <w:t xml:space="preserve"> </w:t>
            </w:r>
            <w:r>
              <w:t xml:space="preserve">The Human Resources Manager developed a structured 90-day onboarding program for new hires, created job descriptions for 18 open positions, established relationships with 12 local staffing agencies in the Houston, United States metro area, and implemented an applicant tracking system (ATS) integration for streamlined hiring workflows.</w:t>
            </w:r>
          </w:p>
        </w:tc>
        <w:tc>
          <w:tcPr/>
          <w:p>
            <w:pPr>
              <w:pStyle w:val="Compact"/>
              <w:jc w:val="left"/>
            </w:pPr>
            <w:r>
              <w:t xml:space="preserve">Jun 23–27, 2025</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5</w:t>
            </w:r>
          </w:p>
        </w:tc>
        <w:tc>
          <w:tcPr/>
          <w:p>
            <w:pPr>
              <w:pStyle w:val="Compact"/>
              <w:jc w:val="left"/>
            </w:pPr>
            <w:r>
              <w:t xml:space="preserve">Employee Relations &amp; Conflict Resolution Workshop</w:t>
            </w:r>
            <w:r>
              <w:t xml:space="preserve"> </w:t>
            </w:r>
            <w:r>
              <w:t xml:space="preserve">Facilitated a two-day intensive workshop for 24 department managers covering progressive discipline procedures, investigation protocols, mediation techniques, and documentation best practices. The Human Resources Manager provided individualized coaching to six senior managers on handling ongoing workplace disputes within the Houston, United States office environment.</w:t>
            </w:r>
          </w:p>
        </w:tc>
        <w:tc>
          <w:tcPr/>
          <w:p>
            <w:pPr>
              <w:pStyle w:val="Compact"/>
              <w:jc w:val="left"/>
            </w:pPr>
            <w:r>
              <w:t xml:space="preserve">Jun 30 – Jul 01, 2025</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6</w:t>
            </w:r>
          </w:p>
        </w:tc>
        <w:tc>
          <w:tcPr/>
          <w:p>
            <w:pPr>
              <w:pStyle w:val="Compact"/>
              <w:jc w:val="left"/>
            </w:pPr>
            <w:r>
              <w:t xml:space="preserve">Performance Management System Implementation</w:t>
            </w:r>
            <w:r>
              <w:t xml:space="preserve"> </w:t>
            </w:r>
            <w:r>
              <w:t xml:space="preserve">Designed and deployed a quarterly OKR-based performance evaluation framework. The Human Resources Manager configured the HRIS platform, created evaluation templates, trained 38 evaluators, and established calibration committee procedures. All implementation was tailored to the operational culture of a mid-size energy firm based in Houston, United States.</w:t>
            </w:r>
          </w:p>
        </w:tc>
        <w:tc>
          <w:tcPr/>
          <w:p>
            <w:pPr>
              <w:pStyle w:val="Compact"/>
              <w:jc w:val="left"/>
            </w:pPr>
            <w:r>
              <w:t xml:space="preserve">Jul 02–04, 2025</w:t>
            </w:r>
          </w:p>
        </w:tc>
        <w:tc>
          <w:tcPr/>
          <w:p>
            <w:pPr>
              <w:pStyle w:val="Compact"/>
              <w:jc w:val="left"/>
            </w:pPr>
            <w:r>
              <w:t xml:space="preserve">18.0</w:t>
            </w:r>
          </w:p>
        </w:tc>
        <w:tc>
          <w:tcPr/>
          <w:p>
            <w:pPr>
              <w:pStyle w:val="Compact"/>
              <w:jc w:val="left"/>
            </w:pPr>
            <w:r>
              <w:t xml:space="preserve">$185.00</w:t>
            </w:r>
          </w:p>
        </w:tc>
        <w:tc>
          <w:tcPr/>
          <w:p>
            <w:pPr>
              <w:pStyle w:val="Compact"/>
              <w:jc w:val="left"/>
            </w:pPr>
            <w:r>
              <w:t xml:space="preserve">$3,330.00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$29,230.00</w:t>
            </w:r>
          </w:p>
        </w:tc>
      </w:tr>
      <w:tr>
        <w:tc>
          <w:tcPr/>
          <w:p>
            <w:pPr>
              <w:pStyle w:val="Compact"/>
              <w:jc w:val="left"/>
            </w:pPr>
            <w:r>
              <w:t xml:space="preserve">Texas Sales &amp; Service Tax (8.25% – Harris County, Houston)</w:t>
            </w:r>
          </w:p>
        </w:tc>
        <w:tc>
          <w:tcPr/>
          <w:p>
            <w:pPr>
              <w:pStyle w:val="Compact"/>
              <w:jc w:val="left"/>
            </w:pPr>
            <w:r>
              <w:t xml:space="preserve">$2,411.48</w:t>
            </w:r>
          </w:p>
        </w:tc>
      </w:tr>
      <w:tr>
        <w:tc>
          <w:tcPr/>
          <w:p>
            <w:pPr>
              <w:pStyle w:val="Compact"/>
              <w:jc w:val="left"/>
            </w:pPr>
            <w:r>
              <w:t xml:space="preserve">Travel &amp; Local Transportation (Houston Metro Area)</w:t>
            </w:r>
          </w:p>
        </w:tc>
        <w:tc>
          <w:tcPr/>
          <w:p>
            <w:pPr>
              <w:pStyle w:val="Compact"/>
              <w:jc w:val="left"/>
            </w:pPr>
            <w:r>
              <w:t xml:space="preserve">$385.00</w:t>
            </w:r>
          </w:p>
        </w:tc>
      </w:tr>
      <w:tr>
        <w:tc>
          <w:tcPr/>
          <w:p>
            <w:pPr>
              <w:pStyle w:val="Compact"/>
              <w:jc w:val="left"/>
            </w:pPr>
            <w:r>
              <w:t xml:space="preserve">Discount – Multi-Service Engagement (5%)</w:t>
            </w:r>
          </w:p>
        </w:tc>
        <w:tc>
          <w:tcPr/>
          <w:p>
            <w:pPr>
              <w:pStyle w:val="Compact"/>
              <w:jc w:val="left"/>
            </w:pPr>
            <w:r>
              <w:t xml:space="preserve">($1,461.50)</w:t>
            </w:r>
          </w:p>
        </w:tc>
      </w:tr>
      <w:tr>
        <w:tc>
          <w:tcPr/>
          <w:p>
            <w:pPr>
              <w:pStyle w:val="Compact"/>
              <w:jc w:val="left"/>
            </w:pPr>
            <w:r>
              <w:t xml:space="preserve">Grand Total Due</w:t>
            </w:r>
          </w:p>
        </w:tc>
        <w:tc>
          <w:tcPr/>
          <w:p>
            <w:pPr>
              <w:pStyle w:val="Compact"/>
              <w:jc w:val="left"/>
            </w:pPr>
            <w:r>
              <w:t xml:space="preserve">$30,564.98</w:t>
            </w:r>
          </w:p>
        </w:tc>
      </w:tr>
    </w:tbl>
    <w:bookmarkStart w:id="24" w:name="payment-instructions"/>
    <w:p>
      <w:pPr>
        <w:pStyle w:val="Heading3"/>
      </w:pPr>
      <w:r>
        <w:t xml:space="preserve">Payment Instructions</w:t>
      </w:r>
    </w:p>
    <w:p>
      <w:pPr>
        <w:pStyle w:val="FirstParagraph"/>
      </w:pPr>
      <w:r>
        <w:rPr>
          <w:bCs/>
          <w:b/>
        </w:rPr>
        <w:t xml:space="preserve">Bank Transfer (ACH/Wire):</w:t>
      </w:r>
      <w:r>
        <w:t xml:space="preserve"> </w:t>
      </w:r>
      <w:r>
        <w:t xml:space="preserve">First National Bank of Houston | Routing: 071000013 | Account: 4482-9917-3056 | Reference: INV-2025-HR-0472</w:t>
      </w:r>
    </w:p>
    <w:p>
      <w:pPr>
        <w:pStyle w:val="BodyText"/>
      </w:pPr>
      <w:r>
        <w:rPr>
          <w:bCs/>
          <w:b/>
        </w:rPr>
        <w:t xml:space="preserve">Check:</w:t>
      </w:r>
      <w:r>
        <w:t xml:space="preserve"> </w:t>
      </w:r>
      <w:r>
        <w:t xml:space="preserve">Make payable to "Summit HR Consulting Group" and mail to 4500 Post Oak Boulevard, Suite 1200, Houston, TX 77056, United States.</w:t>
      </w:r>
    </w:p>
    <w:p>
      <w:pPr>
        <w:pStyle w:val="BodyText"/>
      </w:pPr>
      <w:r>
        <w:rPr>
          <w:bCs/>
          <w:b/>
        </w:rPr>
        <w:t xml:space="preserve">Online Payment:</w:t>
      </w:r>
      <w:r>
        <w:t xml:space="preserve"> </w:t>
      </w:r>
      <w:r>
        <w:t xml:space="preserve">Visit pay.summithrconsulting.com and enter Invoice Number INV-2025-HR-0472.</w:t>
      </w:r>
    </w:p>
    <w:p>
      <w:pPr>
        <w:pStyle w:val="BodyText"/>
      </w:pPr>
      <w:r>
        <w:rPr>
          <w:bCs/>
          <w:b/>
        </w:rPr>
        <w:t xml:space="preserve">Due Date:</w:t>
      </w:r>
      <w:r>
        <w:t xml:space="preserve"> </w:t>
      </w:r>
      <w:r>
        <w:t xml:space="preserve">This Invoice is due within thirty (30) calendar days of the invoice date, no later than July 15, 2025. A late payment fee of 1.5% per month will be applied to overdue balances in accordance with Texas Business &amp; Commerce Code §2.102.</w:t>
      </w:r>
    </w:p>
    <w:bookmarkEnd w:id="24"/>
    <w:bookmarkStart w:id="25" w:name="notes-terms"/>
    <w:p>
      <w:pPr>
        <w:pStyle w:val="Heading3"/>
      </w:pPr>
      <w:r>
        <w:t xml:space="preserve">Notes &amp; Terms</w:t>
      </w:r>
    </w:p>
    <w:p>
      <w:pPr>
        <w:pStyle w:val="FirstParagraph"/>
      </w:pPr>
      <w:r>
        <w:t xml:space="preserve">This Invoice reflects professional services rendered by Ms. Angela M. Richardson, Senior Human Resources Manager, in her capacity as a contracted consultant to Gulf Coast Energy Partners LLC. All services were performed in and around Houston, Harris County, Texas, United States, during the period of June 2, 2025 through July 4, 2025.</w:t>
      </w:r>
    </w:p>
    <w:p>
      <w:pPr>
        <w:pStyle w:val="BodyText"/>
      </w:pPr>
      <w:r>
        <w:t xml:space="preserve">The Human Resources Manager warrants that all deliverables, including the revised Employee Handbook, compensation matrices, onboarding program materials, and performance management templates, are original work products prepared exclusively for the client and are free of third-party intellectual property claims.</w:t>
      </w:r>
    </w:p>
    <w:p>
      <w:pPr>
        <w:pStyle w:val="BodyText"/>
      </w:pPr>
      <w:r>
        <w:t xml:space="preserve">Confidentiality: All personnel data, compensation figures, and organizational information accessed during the engagement are subject to the Mutual Non-Disclosure Agreement (MNDA) executed on May 1, 2025. The Human Resources Manager shall retain no copies of employee records beyond the completion of this Invoice period.</w:t>
      </w:r>
    </w:p>
    <w:p>
      <w:pPr>
        <w:pStyle w:val="BodyText"/>
      </w:pPr>
      <w:r>
        <w:t xml:space="preserve">Dispute Resolution: Any disputes arising from this Invoice or the underlying services shall be governed by the laws of the State of Texas and resolved through binding arbitration in Houston, United States, in accordance with the American Arbitration Association Commercial Rules.</w:t>
      </w:r>
    </w:p>
    <w:p>
      <w:pPr>
        <w:pStyle w:val="BodyText"/>
      </w:pPr>
      <w:r>
        <w:t xml:space="preserve">Please direct any questions regarding this Invoice to the billing department at billing@summithrconsulting.com or call (713) 555-0142, Monday through Friday, 8:00 AM to 5:30 PM Central Time.</w:t>
      </w:r>
    </w:p>
    <w:bookmarkEnd w:id="25"/>
    <w:p>
      <w:pPr>
        <w:pStyle w:val="BodyText"/>
      </w:pPr>
      <w:r>
        <w:rPr>
          <w:bCs/>
          <w:b/>
        </w:rPr>
        <w:t xml:space="preserve">Summit HR Consulting Group</w:t>
      </w:r>
      <w:r>
        <w:t xml:space="preserve"> </w:t>
      </w:r>
      <w:r>
        <w:t xml:space="preserve">| 4500 Post Oak Boulevard, Suite 1200, Houston, Texas 77056, United States</w:t>
      </w:r>
    </w:p>
    <w:p>
      <w:pPr>
        <w:pStyle w:val="BodyText"/>
      </w:pPr>
      <w:r>
        <w:t xml:space="preserve">Invoice INV-2025-HR-0472 | Issued: June 15, 2025 | This is an electronically generated Invoice and is valid without a physical signature.</w:t>
      </w:r>
    </w:p>
    <w:p>
      <w:pPr>
        <w:pStyle w:val="BodyText"/>
      </w:pPr>
      <w:r>
        <w:t xml:space="preserve">Thank you for your business. We appreciate the opportunity to serve as your Human Resources Manager partner in Houston,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Houston, United States</dc:title>
  <dc:creator/>
  <dc:language>en</dc:language>
  <cp:keywords/>
  <dcterms:created xsi:type="dcterms:W3CDTF">2026-10-10T03:13:15Z</dcterms:created>
  <dcterms:modified xsi:type="dcterms:W3CDTF">2026-10-10T03:13:15Z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