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meridian-talent-solutions-llc"/>
    <w:p>
      <w:pPr>
        <w:pStyle w:val="Heading1"/>
      </w:pPr>
      <w:r>
        <w:t xml:space="preserve">Meridian Talent Solutions LLC</w:t>
      </w:r>
    </w:p>
    <w:p>
      <w:pPr>
        <w:pStyle w:val="FirstParagraph"/>
      </w:pPr>
      <w:r>
        <w:t xml:space="preserve">4500 Wilshire Boulevard, Suite 1200</w:t>
      </w:r>
    </w:p>
    <w:p>
      <w:pPr>
        <w:pStyle w:val="BodyText"/>
      </w:pPr>
      <w:r>
        <w:t xml:space="preserve">Los Angeles, California 90016</w:t>
      </w:r>
    </w:p>
    <w:p>
      <w:pPr>
        <w:pStyle w:val="BodyText"/>
      </w:pPr>
      <w:r>
        <w:t xml:space="preserve">United States</w:t>
      </w:r>
    </w:p>
    <w:p>
      <w:pPr>
        <w:pStyle w:val="BodyText"/>
      </w:pPr>
      <w:r>
        <w:t xml:space="preserve">Tel: (213) 555-0187 | Email: billing@meridiantalent.com</w:t>
      </w:r>
    </w:p>
    <w:p>
      <w:pPr>
        <w:pStyle w:val="BodyText"/>
      </w:pPr>
      <w:r>
        <w:t xml:space="preserve">CA Seller's Permit: 2-01-4876532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MTS-2025-04872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p>
      <w:pPr>
        <w:pStyle w:val="BodyText"/>
      </w:pPr>
      <w:r>
        <w:t xml:space="preserve">Payment Due in 30 Days</w:t>
      </w:r>
    </w:p>
    <w:bookmarkEnd w:id="21"/>
    <w:bookmarkStart w:id="22" w:name="bill-to"/>
    <w:p>
      <w:pPr>
        <w:pStyle w:val="Heading3"/>
      </w:pPr>
      <w:r>
        <w:t xml:space="preserve">Bill To</w:t>
      </w:r>
    </w:p>
    <w:p>
      <w:pPr>
        <w:pStyle w:val="FirstParagraph"/>
      </w:pPr>
      <w:r>
        <w:t xml:space="preserve">Pacific Crest Manufacturing Group, Inc.</w:t>
      </w:r>
    </w:p>
    <w:p>
      <w:pPr>
        <w:pStyle w:val="BodyText"/>
      </w:pPr>
      <w:r>
        <w:t xml:space="preserve">Attn: David Chen, Chief Executive Officer</w:t>
      </w:r>
    </w:p>
    <w:p>
      <w:pPr>
        <w:pStyle w:val="BodyText"/>
      </w:pPr>
      <w:r>
        <w:t xml:space="preserve">2800 Century Boulevard, Floor 7</w:t>
      </w:r>
    </w:p>
    <w:p>
      <w:pPr>
        <w:pStyle w:val="BodyText"/>
      </w:pPr>
      <w:r>
        <w:t xml:space="preserve">Los Angeles, California 90054</w:t>
      </w:r>
    </w:p>
    <w:p>
      <w:pPr>
        <w:pStyle w:val="BodyText"/>
      </w:pPr>
      <w:r>
        <w:t xml:space="preserve">United States</w:t>
      </w:r>
    </w:p>
    <w:p>
      <w:pPr>
        <w:pStyle w:val="BodyText"/>
      </w:pPr>
      <w:r>
        <w:t xml:space="preserve">Tax ID (EIN): 33-8847291</w:t>
      </w:r>
    </w:p>
    <w:bookmarkEnd w:id="22"/>
    <w:bookmarkStart w:id="23" w:name="service-provider"/>
    <w:p>
      <w:pPr>
        <w:pStyle w:val="Heading3"/>
      </w:pPr>
      <w:r>
        <w:t xml:space="preserve">Service Provider</w:t>
      </w:r>
    </w:p>
    <w:p>
      <w:pPr>
        <w:pStyle w:val="FirstParagraph"/>
      </w:pPr>
      <w:r>
        <w:t xml:space="preserve">Sarah Mitchell, Human Resources Manager</w:t>
      </w:r>
    </w:p>
    <w:p>
      <w:pPr>
        <w:pStyle w:val="BodyText"/>
      </w:pPr>
      <w:r>
        <w:t xml:space="preserve">Meridian Talent Solutions LLC</w:t>
      </w:r>
    </w:p>
    <w:p>
      <w:pPr>
        <w:pStyle w:val="BodyText"/>
      </w:pPr>
      <w:r>
        <w:t xml:space="preserve">4500 Wilshire Boulevard, Suite 1200</w:t>
      </w:r>
    </w:p>
    <w:p>
      <w:pPr>
        <w:pStyle w:val="BodyText"/>
      </w:pPr>
      <w:r>
        <w:t xml:space="preserve">Los Angeles, California 90016</w:t>
      </w:r>
    </w:p>
    <w:p>
      <w:pPr>
        <w:pStyle w:val="BodyText"/>
      </w:pPr>
      <w:r>
        <w:t xml:space="preserve">United States</w:t>
      </w:r>
    </w:p>
    <w:p>
      <w:pPr>
        <w:pStyle w:val="BodyText"/>
      </w:pPr>
      <w:r>
        <w:t xml:space="preserve">CA Professional License: HR-2019-44871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Strategic Workforce Planning &amp; Organizational Development Consulting – The Human Resources Manager conducted a comprehensive workforce analysis for Pacific Crest Manufacturing Group, including headcount forecasting, succession planning, and departmental restructuring recommendations aligned with the company's five-year growth trajectory in the Los Angeles metropolitan area.</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Employee Onboarding Program Design &amp; Implementation – The Human Resources Manager developed and deployed a new structured onboarding framework for all new hires, incorporating California-specific labor law compliance, benefits enrollment guidance, and cultural integration workshops tailored to the diverse workforce in United States Los Angeles.</w:t>
            </w:r>
          </w:p>
        </w:tc>
        <w:tc>
          <w:tcPr/>
          <w:p>
            <w:pPr>
              <w:pStyle w:val="Compact"/>
              <w:jc w:val="left"/>
            </w:pPr>
            <w:r>
              <w:t xml:space="preserve">18.0</w:t>
            </w:r>
          </w:p>
        </w:tc>
        <w:tc>
          <w:tcPr/>
          <w:p>
            <w:pPr>
              <w:pStyle w:val="Compact"/>
              <w:jc w:val="left"/>
            </w:pPr>
            <w:r>
              <w:t xml:space="preserve">$185.00</w:t>
            </w:r>
          </w:p>
        </w:tc>
        <w:tc>
          <w:tcPr/>
          <w:p>
            <w:pPr>
              <w:pStyle w:val="Compact"/>
              <w:jc w:val="left"/>
            </w:pPr>
            <w:r>
              <w:t xml:space="preserve">$3,330.00</w:t>
            </w:r>
          </w:p>
        </w:tc>
      </w:tr>
      <w:tr>
        <w:tc>
          <w:tcPr/>
          <w:p>
            <w:pPr>
              <w:pStyle w:val="Compact"/>
              <w:jc w:val="left"/>
            </w:pPr>
            <w:r>
              <w:t xml:space="preserve">3</w:t>
            </w:r>
          </w:p>
        </w:tc>
        <w:tc>
          <w:tcPr/>
          <w:p>
            <w:pPr>
              <w:pStyle w:val="Compact"/>
              <w:jc w:val="left"/>
            </w:pPr>
            <w:r>
              <w:t xml:space="preserve">Compensation &amp; Benefits Benchmarking Study – Conducted a market-rate compensation analysis for 14 job families using data from the Los Angeles labor market. The Human Resources Manager prepared a detailed report with salary band recommendations, equity structure adjustments, and benefits package optimization to remain competitive within the United States Los Angeles talent ecosystem.</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4</w:t>
            </w:r>
          </w:p>
        </w:tc>
        <w:tc>
          <w:tcPr/>
          <w:p>
            <w:pPr>
              <w:pStyle w:val="Compact"/>
              <w:jc w:val="left"/>
            </w:pPr>
            <w:r>
              <w:t xml:space="preserve">Employee Relations &amp; Conflict Resolution Support – The Human Resources Manager facilitated three formal grievance mediation sessions, drafted revised employee handbook policies in compliance with California Labor Code Sections 2800–2810, and conducted two manager training workshops on lawful workplace practices specific to the Los Angeles jurisdiction.</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5</w:t>
            </w:r>
          </w:p>
        </w:tc>
        <w:tc>
          <w:tcPr/>
          <w:p>
            <w:pPr>
              <w:pStyle w:val="Compact"/>
              <w:jc w:val="left"/>
            </w:pPr>
            <w:r>
              <w:t xml:space="preserve">Recruitment Strategy &amp; Employer Branding Development – The Human Resources Manager designed a targeted recruitment campaign for 22 open positions, developed employer branding collateral, coordinated with three Los Angeles-based staffing agencies, and managed the full applicant tracking workflow from sourcing through final offer letter issuance.</w:t>
            </w:r>
          </w:p>
        </w:tc>
        <w:tc>
          <w:tcPr/>
          <w:p>
            <w:pPr>
              <w:pStyle w:val="Compact"/>
              <w:jc w:val="left"/>
            </w:pPr>
            <w:r>
              <w:t xml:space="preserve">22.0</w:t>
            </w:r>
          </w:p>
        </w:tc>
        <w:tc>
          <w:tcPr/>
          <w:p>
            <w:pPr>
              <w:pStyle w:val="Compact"/>
              <w:jc w:val="left"/>
            </w:pPr>
            <w:r>
              <w:t xml:space="preserve">$185.00</w:t>
            </w:r>
          </w:p>
        </w:tc>
        <w:tc>
          <w:tcPr/>
          <w:p>
            <w:pPr>
              <w:pStyle w:val="Compact"/>
              <w:jc w:val="left"/>
            </w:pPr>
            <w:r>
              <w:t xml:space="preserve">$4,070.00</w:t>
            </w:r>
          </w:p>
        </w:tc>
      </w:tr>
      <w:tr>
        <w:tc>
          <w:tcPr/>
          <w:p>
            <w:pPr>
              <w:pStyle w:val="Compact"/>
              <w:jc w:val="left"/>
            </w:pPr>
            <w:r>
              <w:t xml:space="preserve">6</w:t>
            </w:r>
          </w:p>
        </w:tc>
        <w:tc>
          <w:tcPr/>
          <w:p>
            <w:pPr>
              <w:pStyle w:val="Compact"/>
              <w:jc w:val="left"/>
            </w:pPr>
            <w:r>
              <w:t xml:space="preserve">Compliance Audit &amp; Regulatory Reporting – The Human Resources Manager performed a full-year compliance audit covering OSHA reporting, California EDD filings, Workers' Compensation coverage verification, and I-9/E-Verify documentation review for all 340 active employees. All findings and corrective action plans were documented and submitted to the client's legal counsel in Los Angeles.</w:t>
            </w:r>
          </w:p>
        </w:tc>
        <w:tc>
          <w:tcPr/>
          <w:p>
            <w:pPr>
              <w:pStyle w:val="Compact"/>
              <w:jc w:val="left"/>
            </w:pPr>
            <w:r>
              <w:t xml:space="preserve">14.0</w:t>
            </w:r>
          </w:p>
        </w:tc>
        <w:tc>
          <w:tcPr/>
          <w:p>
            <w:pPr>
              <w:pStyle w:val="Compact"/>
              <w:jc w:val="left"/>
            </w:pPr>
            <w:r>
              <w:t xml:space="preserve">$185.00</w:t>
            </w:r>
          </w:p>
        </w:tc>
        <w:tc>
          <w:tcPr/>
          <w:p>
            <w:pPr>
              <w:pStyle w:val="Compact"/>
              <w:jc w:val="left"/>
            </w:pPr>
            <w:r>
              <w:t xml:space="preserve">$2,590.00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$21,090.00</w:t>
            </w:r>
          </w:p>
        </w:tc>
      </w:tr>
      <w:tr>
        <w:tc>
          <w:tcPr/>
          <w:p>
            <w:pPr>
              <w:pStyle w:val="Compact"/>
              <w:jc w:val="left"/>
            </w:pPr>
            <w:r>
              <w:t xml:space="preserve">California Sales Tax (8.75% – Los Angeles County)</w:t>
            </w:r>
          </w:p>
        </w:tc>
        <w:tc>
          <w:tcPr/>
          <w:p>
            <w:pPr>
              <w:pStyle w:val="Compact"/>
              <w:jc w:val="left"/>
            </w:pPr>
            <w:r>
              <w:t xml:space="preserve">$1,845.38</w:t>
            </w:r>
          </w:p>
        </w:tc>
      </w:tr>
      <w:tr>
        <w:tc>
          <w:tcPr/>
          <w:p>
            <w:pPr>
              <w:pStyle w:val="Compact"/>
              <w:jc w:val="left"/>
            </w:pPr>
            <w:r>
              <w:t xml:space="preserve">Los Angeles City Business Tax (0.5%)</w:t>
            </w:r>
          </w:p>
        </w:tc>
        <w:tc>
          <w:tcPr/>
          <w:p>
            <w:pPr>
              <w:pStyle w:val="Compact"/>
              <w:jc w:val="left"/>
            </w:pPr>
            <w:r>
              <w:t xml:space="preserve">$105.45</w:t>
            </w:r>
          </w:p>
        </w:tc>
      </w:tr>
      <w:tr>
        <w:tc>
          <w:tcPr/>
          <w:p>
            <w:pPr>
              <w:pStyle w:val="Compact"/>
              <w:jc w:val="left"/>
            </w:pPr>
            <w:r>
              <w:t xml:space="preserve">Discount (Early Payment – 2%)</w:t>
            </w:r>
          </w:p>
        </w:tc>
        <w:tc>
          <w:tcPr/>
          <w:p>
            <w:pPr>
              <w:pStyle w:val="Compact"/>
              <w:jc w:val="left"/>
            </w:pPr>
            <w:r>
              <w:t xml:space="preserve">($421.80)</w:t>
            </w:r>
          </w:p>
        </w:tc>
      </w:tr>
      <w:tr>
        <w:tc>
          <w:tcPr/>
          <w:p>
            <w:pPr>
              <w:pStyle w:val="Compact"/>
              <w:jc w:val="left"/>
            </w:pPr>
            <w:r>
              <w:t xml:space="preserve">Grand Total Due</w:t>
            </w:r>
          </w:p>
        </w:tc>
        <w:tc>
          <w:tcPr/>
          <w:p>
            <w:pPr>
              <w:pStyle w:val="Compact"/>
              <w:jc w:val="left"/>
            </w:pPr>
            <w:r>
              <w:t xml:space="preserve">$22,619.03</w:t>
            </w:r>
          </w:p>
        </w:tc>
      </w:tr>
    </w:tbl>
    <w:bookmarkStart w:id="24" w:name="payment-instructions"/>
    <w:p>
      <w:pPr>
        <w:pStyle w:val="Heading3"/>
      </w:pPr>
      <w:r>
        <w:t xml:space="preserve">Payment Instructions</w:t>
      </w:r>
    </w:p>
    <w:p>
      <w:pPr>
        <w:pStyle w:val="FirstParagraph"/>
      </w:pPr>
      <w:r>
        <w:rPr>
          <w:bCs/>
          <w:b/>
        </w:rPr>
        <w:t xml:space="preserve">Method 1 – Bank Wire Transfer:</w:t>
      </w:r>
      <w:r>
        <w:t xml:space="preserve"> </w:t>
      </w:r>
      <w:r>
        <w:t xml:space="preserve">First Republic Bank, N.A. | Routing: 121000358 | Account: 4472-8891-003 | Reference: MTS-2025-04872</w:t>
      </w:r>
    </w:p>
    <w:p>
      <w:pPr>
        <w:pStyle w:val="BodyText"/>
      </w:pPr>
      <w:r>
        <w:rPr>
          <w:bCs/>
          <w:b/>
        </w:rPr>
        <w:t xml:space="preserve">Method 2 – ACH/EFT:</w:t>
      </w:r>
      <w:r>
        <w:t xml:space="preserve"> </w:t>
      </w:r>
      <w:r>
        <w:t xml:space="preserve">Same routing and account details. Please allow 3–5 business days for processing.</w:t>
      </w:r>
    </w:p>
    <w:p>
      <w:pPr>
        <w:pStyle w:val="BodyText"/>
      </w:pPr>
      <w:r>
        <w:rPr>
          <w:bCs/>
          <w:b/>
        </w:rPr>
        <w:t xml:space="preserve">Method 3 – Check:</w:t>
      </w:r>
      <w:r>
        <w:t xml:space="preserve"> </w:t>
      </w:r>
      <w:r>
        <w:t xml:space="preserve">Make payable to "Meridian Talent Solutions LLC" and mail to 4500 Wilshire Boulevard, Suite 1200, Los Angeles, CA 90016, United States.</w:t>
      </w:r>
    </w:p>
    <w:p>
      <w:pPr>
        <w:pStyle w:val="BodyText"/>
      </w:pPr>
      <w:r>
        <w:rPr>
          <w:bCs/>
          <w:b/>
        </w:rPr>
        <w:t xml:space="preserve">Method 4 – Credit Card:</w:t>
      </w:r>
      <w:r>
        <w:t xml:space="preserve"> </w:t>
      </w:r>
      <w:r>
        <w:t xml:space="preserve">Visa, Mastercard, or American Express accepted via secure portal at billing.meridiantalent.com. A 2.9% processing surcharge applies to card payments.</w:t>
      </w:r>
    </w:p>
    <w:p>
      <w:pPr>
        <w:pStyle w:val="BodyText"/>
      </w:pPr>
      <w:r>
        <w:t xml:space="preserve">Please reference Invoice Number MTS-2025-04872 on all remittances. Late payments are subject to a 1.5% monthly finance charge as permitted under California Civil Code Section 1671.</w:t>
      </w:r>
    </w:p>
    <w:bookmarkEnd w:id="24"/>
    <w:bookmarkStart w:id="25" w:name="notes-terms"/>
    <w:p>
      <w:pPr>
        <w:pStyle w:val="Heading3"/>
      </w:pPr>
      <w:r>
        <w:t xml:space="preserve">Notes &amp; Terms</w:t>
      </w:r>
    </w:p>
    <w:p>
      <w:pPr>
        <w:pStyle w:val="FirstParagraph"/>
      </w:pPr>
      <w:r>
        <w:t xml:space="preserve">This Invoice represents the final and complete billing for all Human Resources Manager professional services rendered by Sarah Mitchell of Meridian Talent Solutions LLC to Pacific Crest Manufacturing Group, Inc. during the service period of May 1, 2025, through May 31, 2025, in the United States Los Angeles metropolitan area.</w:t>
      </w:r>
    </w:p>
    <w:p>
      <w:pPr>
        <w:pStyle w:val="BodyText"/>
      </w:pPr>
      <w:r>
        <w:t xml:space="preserve">All services were performed in accordance with the Master Service Agreement (MSA) dated January 15, 2025, and the Statement of Work (SOW #2025-014) executed on April 28, 2025. The Human Resources Manager's engagement was governed by the terms, conditions, and scope of work defined therein.</w:t>
      </w:r>
    </w:p>
    <w:p>
      <w:pPr>
        <w:pStyle w:val="BodyText"/>
      </w:pPr>
      <w:r>
        <w:t xml:space="preserve">Payment is due within thirty (30) calendar days of the Invoice date. In the event of a dispute regarding any line item, the client is requested to notify the billing department in writing within fifteen (15) days of receipt of this Invoice. Undisputed portions of the Invoice remain payable on the original due date.</w:t>
      </w:r>
    </w:p>
    <w:p>
      <w:pPr>
        <w:pStyle w:val="BodyText"/>
      </w:pPr>
      <w:r>
        <w:t xml:space="preserve">Meridian Talent Solutions LLC is a California-registered limited liability company operating in the United States Los Angeles business district. All services are subject to the California Professional Licensing Board regulations and the applicable federal employment laws of the United States.</w:t>
      </w:r>
    </w:p>
    <w:p>
      <w:pPr>
        <w:pStyle w:val="BodyText"/>
      </w:pPr>
      <w:r>
        <w:t xml:space="preserve">This Invoice is valid for 90 days from the date of issue. After 90 days, the Invoice may be subject to re-issuance with updated tax calculations if applicable rates in Los Angeles County have changed.</w:t>
      </w:r>
    </w:p>
    <w:bookmarkEnd w:id="25"/>
    <w:p>
      <w:pPr>
        <w:pStyle w:val="BodyText"/>
      </w:pPr>
      <w:r>
        <w:rPr>
          <w:bCs/>
          <w:b/>
        </w:rPr>
        <w:t xml:space="preserve">Meridian Talent Solutions LLC</w:t>
      </w:r>
      <w:r>
        <w:t xml:space="preserve"> </w:t>
      </w:r>
      <w:r>
        <w:t xml:space="preserve">| 4500 Wilshire Boulevard, Suite 1200, Los Angeles, CA 90016, United States</w:t>
      </w:r>
    </w:p>
    <w:p>
      <w:pPr>
        <w:pStyle w:val="BodyText"/>
      </w:pPr>
      <w:r>
        <w:t xml:space="preserve">CA Seller's Permit: 2-01-4876532 | EIN: 82-4471903 | CA Professional Employer Organization License: PEO-2020-00341</w:t>
      </w:r>
    </w:p>
    <w:p>
      <w:pPr>
        <w:pStyle w:val="BodyText"/>
      </w:pPr>
      <w:r>
        <w:t xml:space="preserve">This Invoice was generated electronically on June 12, 2025. No physical signature is required. This document constitutes a legally binding billing instrument under California law.</w:t>
      </w:r>
    </w:p>
    <w:p>
      <w:pPr>
        <w:pStyle w:val="BodyText"/>
      </w:pPr>
      <w:r>
        <w:t xml:space="preserve">For questions regarding this Invoice, contact: billing@meridiantalent.com | (213) 555-0187, Monday through Friday, 8:00 AM – 6:00 PM Pacific Time.</w:t>
      </w:r>
    </w:p>
    <w:p>
      <w:pPr>
        <w:pStyle w:val="BodyText"/>
      </w:pPr>
      <w:r>
        <w:t xml:space="preserve">© 2025 Meridian Talent Solutions LLC. All rights reserved. Invoice MTS-2025-04872.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United States Los Angeles</dc:title>
  <dc:creator/>
  <dc:language>en</dc:language>
  <cp:keywords/>
  <dcterms:created xsi:type="dcterms:W3CDTF">2026-10-10T01:24:21Z</dcterms:created>
  <dcterms:modified xsi:type="dcterms:W3CDTF">2026-10-10T01:24:21Z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