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X0adbd137f6ad73d77c82a7f753fb0046b644ab7"/>
    <w:p>
      <w:pPr>
        <w:pStyle w:val="Heading1"/>
      </w:pPr>
      <w:r>
        <w:t xml:space="preserve">Melbourne Industrial Engineering Solutions</w:t>
      </w:r>
    </w:p>
    <w:p>
      <w:pPr>
        <w:pStyle w:val="FirstParagraph"/>
      </w:pPr>
      <w:r>
        <w:t xml:space="preserve">Level 12, 100 Collins Street</w:t>
      </w:r>
    </w:p>
    <w:p>
      <w:pPr>
        <w:pStyle w:val="BodyText"/>
      </w:pPr>
      <w:r>
        <w:t xml:space="preserve">Melbourne, VIC 3000</w:t>
      </w:r>
    </w:p>
    <w:p>
      <w:pPr>
        <w:pStyle w:val="BodyText"/>
      </w:pPr>
      <w:r>
        <w:t xml:space="preserve">Australia</w:t>
      </w:r>
    </w:p>
    <w:p>
      <w:pPr>
        <w:pStyle w:val="BodyText"/>
      </w:pPr>
      <w:r>
        <w:t xml:space="preserve">ABN: 12 345 678 901</w:t>
      </w:r>
    </w:p>
    <w:p>
      <w:pPr>
        <w:pStyle w:val="BodyText"/>
      </w:pPr>
      <w:r>
        <w:t xml:space="preserve">Email: billing@mie-solutions.com.au</w:t>
      </w:r>
    </w:p>
    <w:p>
      <w:pPr>
        <w:pStyle w:val="BodyText"/>
      </w:pPr>
      <w:r>
        <w:t xml:space="preserve">Phone: +61 3 9000 0000</w:t>
      </w:r>
    </w:p>
    <w:bookmarkEnd w:id="20"/>
    <w:bookmarkStart w:id="21" w:name="invoice"/>
    <w:p>
      <w:pPr>
        <w:pStyle w:val="Heading2"/>
      </w:pPr>
      <w:r>
        <w:t xml:space="preserve">INVOICE</w:t>
      </w:r>
    </w:p>
    <w:p>
      <w:pPr>
        <w:pStyle w:val="FirstParagraph"/>
      </w:pPr>
      <w:r>
        <w:rPr>
          <w:bCs/>
          <w:b/>
        </w:rPr>
        <w:t xml:space="preserve">Date:</w:t>
      </w:r>
      <w:r>
        <w:t xml:space="preserve"> </w:t>
      </w:r>
      <w:r>
        <w:t xml:space="preserve">24 October 2023</w:t>
      </w:r>
    </w:p>
    <w:p>
      <w:pPr>
        <w:pStyle w:val="BodyText"/>
      </w:pPr>
      <w:r>
        <w:rPr>
          <w:bCs/>
          <w:b/>
        </w:rPr>
        <w:t xml:space="preserve">Due Date:</w:t>
      </w:r>
      <w:r>
        <w:t xml:space="preserve"> </w:t>
      </w:r>
      <w:r>
        <w:t xml:space="preserve">24 November 2023</w:t>
      </w:r>
    </w:p>
    <w:bookmarkEnd w:id="21"/>
    <w:bookmarkStart w:id="22" w:name="bill-to"/>
    <w:p>
      <w:pPr>
        <w:pStyle w:val="Heading3"/>
      </w:pPr>
      <w:r>
        <w:t xml:space="preserve">Bill To</w:t>
      </w:r>
    </w:p>
    <w:p>
      <w:pPr>
        <w:pStyle w:val="FirstParagraph"/>
      </w:pPr>
      <w:r>
        <w:rPr>
          <w:bCs/>
          <w:b/>
        </w:rPr>
        <w:t xml:space="preserve">Victorian Manufacturing Group Pty Ltd</w:t>
      </w:r>
    </w:p>
    <w:p>
      <w:pPr>
        <w:pStyle w:val="BodyText"/>
      </w:pPr>
      <w:r>
        <w:t xml:space="preserve">Attn: Procurement Department</w:t>
      </w:r>
    </w:p>
    <w:p>
      <w:pPr>
        <w:pStyle w:val="BodyText"/>
      </w:pPr>
      <w:r>
        <w:t xml:space="preserve">45 Industrial Drive</w:t>
      </w:r>
    </w:p>
    <w:p>
      <w:pPr>
        <w:pStyle w:val="BodyText"/>
      </w:pPr>
      <w:r>
        <w:t xml:space="preserve">Spotswood, VIC 3015</w:t>
      </w:r>
    </w:p>
    <w:p>
      <w:pPr>
        <w:pStyle w:val="BodyText"/>
      </w:pPr>
      <w:r>
        <w:t xml:space="preserve">Australia</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INV-2023-10-089</w:t>
      </w:r>
    </w:p>
    <w:p>
      <w:pPr>
        <w:pStyle w:val="BodyText"/>
      </w:pPr>
      <w:r>
        <w:rPr>
          <w:bCs/>
          <w:b/>
        </w:rPr>
        <w:t xml:space="preserve">Project Reference:</w:t>
      </w:r>
      <w:r>
        <w:t xml:space="preserve"> </w:t>
      </w:r>
      <w:r>
        <w:t xml:space="preserve">OPT-MEL-2023-Q4</w:t>
      </w:r>
    </w:p>
    <w:p>
      <w:pPr>
        <w:pStyle w:val="BodyText"/>
      </w:pPr>
      <w:r>
        <w:rPr>
          <w:bCs/>
          <w:b/>
        </w:rPr>
        <w:t xml:space="preserve">Service Period:</w:t>
      </w:r>
      <w:r>
        <w:t xml:space="preserve"> </w:t>
      </w:r>
      <w:r>
        <w:t xml:space="preserve">01 Oct 2023 - 31 Oct 2023</w:t>
      </w:r>
    </w:p>
    <w:p>
      <w:pPr>
        <w:pStyle w:val="BodyText"/>
      </w:pPr>
      <w:r>
        <w:rPr>
          <w:bCs/>
          <w:b/>
        </w:rPr>
        <w:t xml:space="preserve">Payment Terms:</w:t>
      </w:r>
      <w:r>
        <w:t xml:space="preserve"> </w:t>
      </w:r>
      <w:r>
        <w:t xml:space="preserve">Net 30 Days</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rPr>
                <w:bCs/>
                <w:b/>
              </w:rPr>
              <w:t xml:space="preserve">Senior Industrial Engineer Consultation</w:t>
            </w:r>
            <w:r>
              <w:br/>
            </w:r>
            <w:r>
              <w:t xml:space="preserve">Comprehensive analysis of current production workflows at the Spotswood facility. This service includes time and motion studies, identification of bottlenecks, and strategic recommendations for lean manufacturing implementation tailored to Australian safety standards.</w:t>
            </w:r>
          </w:p>
        </w:tc>
        <w:tc>
          <w:tcPr/>
          <w:p>
            <w:pPr>
              <w:pStyle w:val="Compact"/>
              <w:jc w:val="left"/>
            </w:pPr>
            <w:r>
              <w:t xml:space="preserve">40.00</w:t>
            </w:r>
          </w:p>
        </w:tc>
        <w:tc>
          <w:tcPr/>
          <w:p>
            <w:pPr>
              <w:pStyle w:val="Compact"/>
              <w:jc w:val="left"/>
            </w:pPr>
            <w:r>
              <w:t xml:space="preserve">185.00</w:t>
            </w:r>
          </w:p>
        </w:tc>
        <w:tc>
          <w:tcPr/>
          <w:p>
            <w:pPr>
              <w:pStyle w:val="Compact"/>
              <w:jc w:val="left"/>
            </w:pPr>
            <w:r>
              <w:t xml:space="preserve">7,400.00</w:t>
            </w:r>
          </w:p>
        </w:tc>
      </w:tr>
      <w:tr>
        <w:tc>
          <w:tcPr/>
          <w:p>
            <w:pPr>
              <w:pStyle w:val="Compact"/>
              <w:jc w:val="left"/>
            </w:pPr>
            <w:r>
              <w:rPr>
                <w:bCs/>
                <w:b/>
              </w:rPr>
              <w:t xml:space="preserve">Process Optimization &amp; Simulation</w:t>
            </w:r>
            <w:r>
              <w:br/>
            </w:r>
            <w:r>
              <w:t xml:space="preserve">Development of discrete event simulation models to forecast the impact of proposed layout changes. This technical service ensures that the Industrial Engineer's recommendations are data-driven and viable for the specific operational context of Melbourne's manufacturing sector.</w:t>
            </w:r>
          </w:p>
        </w:tc>
        <w:tc>
          <w:tcPr/>
          <w:p>
            <w:pPr>
              <w:pStyle w:val="Compact"/>
              <w:jc w:val="left"/>
            </w:pPr>
            <w:r>
              <w:t xml:space="preserve">25.00</w:t>
            </w:r>
          </w:p>
        </w:tc>
        <w:tc>
          <w:tcPr/>
          <w:p>
            <w:pPr>
              <w:pStyle w:val="Compact"/>
              <w:jc w:val="left"/>
            </w:pPr>
            <w:r>
              <w:t xml:space="preserve">185.00</w:t>
            </w:r>
          </w:p>
        </w:tc>
        <w:tc>
          <w:tcPr/>
          <w:p>
            <w:pPr>
              <w:pStyle w:val="Compact"/>
              <w:jc w:val="left"/>
            </w:pPr>
            <w:r>
              <w:t xml:space="preserve">4,625.00</w:t>
            </w:r>
          </w:p>
        </w:tc>
      </w:tr>
      <w:tr>
        <w:tc>
          <w:tcPr/>
          <w:p>
            <w:pPr>
              <w:pStyle w:val="Compact"/>
              <w:jc w:val="left"/>
            </w:pPr>
            <w:r>
              <w:rPr>
                <w:bCs/>
                <w:b/>
              </w:rPr>
              <w:t xml:space="preserve">Quality Control System Design</w:t>
            </w:r>
            <w:r>
              <w:br/>
            </w:r>
            <w:r>
              <w:t xml:space="preserve">Design and documentation of a new Statistical Process Control (SPC) framework. The Industrial Engineer has provided detailed protocols to reduce defect rates and ensure compliance with ISO 9001 standards relevant to Australian industrial operations.</w:t>
            </w:r>
          </w:p>
        </w:tc>
        <w:tc>
          <w:tcPr/>
          <w:p>
            <w:pPr>
              <w:pStyle w:val="Compact"/>
              <w:jc w:val="left"/>
            </w:pPr>
            <w:r>
              <w:t xml:space="preserve">20.00</w:t>
            </w:r>
          </w:p>
        </w:tc>
        <w:tc>
          <w:tcPr/>
          <w:p>
            <w:pPr>
              <w:pStyle w:val="Compact"/>
              <w:jc w:val="left"/>
            </w:pPr>
            <w:r>
              <w:t xml:space="preserve">185.00</w:t>
            </w:r>
          </w:p>
        </w:tc>
        <w:tc>
          <w:tcPr/>
          <w:p>
            <w:pPr>
              <w:pStyle w:val="Compact"/>
              <w:jc w:val="left"/>
            </w:pPr>
            <w:r>
              <w:t xml:space="preserve">3,700.00</w:t>
            </w:r>
          </w:p>
        </w:tc>
      </w:tr>
      <w:tr>
        <w:tc>
          <w:tcPr/>
          <w:p>
            <w:pPr>
              <w:pStyle w:val="Compact"/>
              <w:jc w:val="left"/>
            </w:pPr>
            <w:r>
              <w:rPr>
                <w:bCs/>
                <w:b/>
              </w:rPr>
              <w:t xml:space="preserve">Staff Training &amp; Implementation Support</w:t>
            </w:r>
            <w:r>
              <w:br/>
            </w:r>
            <w:r>
              <w:t xml:space="preserve">On-site training sessions for floor managers and supervisors in Melbourne. The Industrial Engineer conducted workshops on 5S methodology and continuous improvement (Kaizen) techniques to ensure successful adoption of new processes.</w:t>
            </w:r>
          </w:p>
        </w:tc>
        <w:tc>
          <w:tcPr/>
          <w:p>
            <w:pPr>
              <w:pStyle w:val="Compact"/>
              <w:jc w:val="left"/>
            </w:pPr>
            <w:r>
              <w:t xml:space="preserve">15.00</w:t>
            </w:r>
          </w:p>
        </w:tc>
        <w:tc>
          <w:tcPr/>
          <w:p>
            <w:pPr>
              <w:pStyle w:val="Compact"/>
              <w:jc w:val="left"/>
            </w:pPr>
            <w:r>
              <w:t xml:space="preserve">185.00</w:t>
            </w:r>
          </w:p>
        </w:tc>
        <w:tc>
          <w:tcPr/>
          <w:p>
            <w:pPr>
              <w:pStyle w:val="Compact"/>
              <w:jc w:val="left"/>
            </w:pPr>
            <w:r>
              <w:t xml:space="preserve">2,775.00</w:t>
            </w:r>
          </w:p>
        </w:tc>
      </w:tr>
      <w:tr>
        <w:tc>
          <w:tcPr/>
          <w:p>
            <w:pPr>
              <w:pStyle w:val="Compact"/>
              <w:jc w:val="left"/>
            </w:pPr>
            <w:r>
              <w:rPr>
                <w:bCs/>
                <w:b/>
              </w:rPr>
              <w:t xml:space="preserve">Travel and Site Expenses</w:t>
            </w:r>
            <w:r>
              <w:br/>
            </w:r>
            <w:r>
              <w:t xml:space="preserve">Reimbursement for travel between Melbourne CBD and the Spotswood facility, including parking and tolls incurred during the service period.</w:t>
            </w:r>
          </w:p>
        </w:tc>
        <w:tc>
          <w:tcPr/>
          <w:p>
            <w:pPr>
              <w:pStyle w:val="Compact"/>
              <w:jc w:val="left"/>
            </w:pPr>
            <w:r>
              <w:t xml:space="preserve">1.00</w:t>
            </w:r>
          </w:p>
        </w:tc>
        <w:tc>
          <w:tcPr/>
          <w:p>
            <w:pPr>
              <w:pStyle w:val="Compact"/>
              <w:jc w:val="left"/>
            </w:pPr>
            <w:r>
              <w:t xml:space="preserve">250.00</w:t>
            </w:r>
          </w:p>
        </w:tc>
        <w:tc>
          <w:tcPr/>
          <w:p>
            <w:pPr>
              <w:pStyle w:val="Compact"/>
              <w:jc w:val="left"/>
            </w:pPr>
            <w:r>
              <w:t xml:space="preserve">250.00</w:t>
            </w:r>
          </w:p>
        </w:tc>
      </w:tr>
    </w:tbl>
    <w:p>
      <w:pPr>
        <w:pStyle w:val="BodyText"/>
      </w:pPr>
      <w:r>
        <w:t xml:space="preserve">Subtotal</w:t>
      </w:r>
      <w:r>
        <w:t xml:space="preserve"> </w:t>
      </w:r>
      <w:r>
        <w:t xml:space="preserve">$18,750.00</w:t>
      </w:r>
    </w:p>
    <w:p>
      <w:pPr>
        <w:pStyle w:val="BodyText"/>
      </w:pPr>
      <w:r>
        <w:t xml:space="preserve">GST (10%)</w:t>
      </w:r>
      <w:r>
        <w:t xml:space="preserve"> </w:t>
      </w:r>
      <w:r>
        <w:t xml:space="preserve">$1,875.00</w:t>
      </w:r>
    </w:p>
    <w:p>
      <w:pPr>
        <w:pStyle w:val="BodyText"/>
      </w:pPr>
      <w:r>
        <w:t xml:space="preserve">Total Due (AUD)</w:t>
      </w:r>
      <w:r>
        <w:t xml:space="preserve"> </w:t>
      </w:r>
      <w:r>
        <w:t xml:space="preserve">$20,625.00</w:t>
      </w:r>
    </w:p>
    <w:bookmarkStart w:id="24" w:name="payment-instructions-notes"/>
    <w:p>
      <w:pPr>
        <w:pStyle w:val="Heading4"/>
      </w:pPr>
      <w:r>
        <w:t xml:space="preserve">Payment Instructions &amp; Notes</w:t>
      </w:r>
    </w:p>
    <w:p>
      <w:pPr>
        <w:pStyle w:val="FirstParagraph"/>
      </w:pPr>
      <w:r>
        <w:t xml:space="preserve">Please make payment via bank transfer to the following account:</w:t>
      </w:r>
    </w:p>
    <w:p>
      <w:pPr>
        <w:pStyle w:val="BodyText"/>
      </w:pPr>
      <w:r>
        <w:rPr>
          <w:bCs/>
          <w:b/>
        </w:rPr>
        <w:t xml:space="preserve">Bank:</w:t>
      </w:r>
      <w:r>
        <w:t xml:space="preserve"> </w:t>
      </w:r>
      <w:r>
        <w:t xml:space="preserve">National Australia Bank (NAB)</w:t>
      </w:r>
      <w:r>
        <w:br/>
      </w:r>
      <w:r>
        <w:rPr>
          <w:bCs/>
          <w:b/>
        </w:rPr>
        <w:t xml:space="preserve">BSB:</w:t>
      </w:r>
      <w:r>
        <w:t xml:space="preserve"> </w:t>
      </w:r>
      <w:r>
        <w:t xml:space="preserve">082-001</w:t>
      </w:r>
      <w:r>
        <w:br/>
      </w:r>
      <w:r>
        <w:rPr>
          <w:bCs/>
          <w:b/>
        </w:rPr>
        <w:t xml:space="preserve">Account Name:</w:t>
      </w:r>
      <w:r>
        <w:t xml:space="preserve"> </w:t>
      </w:r>
      <w:r>
        <w:t xml:space="preserve">Melbourne Industrial Engineering Solutions Pty Ltd</w:t>
      </w:r>
      <w:r>
        <w:br/>
      </w:r>
      <w:r>
        <w:rPr>
          <w:bCs/>
          <w:b/>
        </w:rPr>
        <w:t xml:space="preserve">Account Number:</w:t>
      </w:r>
      <w:r>
        <w:t xml:space="preserve"> </w:t>
      </w:r>
      <w:r>
        <w:t xml:space="preserve">1234 5678</w:t>
      </w:r>
      <w:r>
        <w:br/>
      </w:r>
      <w:r>
        <w:rPr>
          <w:bCs/>
          <w:b/>
        </w:rPr>
        <w:t xml:space="preserve">Reference:</w:t>
      </w:r>
      <w:r>
        <w:t xml:space="preserve"> </w:t>
      </w:r>
      <w:r>
        <w:t xml:space="preserve">INV-2023-10-089</w:t>
      </w:r>
    </w:p>
    <w:p>
      <w:pPr>
        <w:pStyle w:val="BodyText"/>
      </w:pPr>
      <w:r>
        <w:rPr>
          <w:bCs/>
          <w:b/>
        </w:rPr>
        <w:t xml:space="preserve">Important:</w:t>
      </w:r>
      <w:r>
        <w:t xml:space="preserve"> </w:t>
      </w:r>
      <w:r>
        <w:t xml:space="preserve">This Invoice reflects the professional services rendered by a qualified Industrial Engineer in accordance with the contract signed on 15 September 2023. All rates are inclusive of professional liability insurance. Payment is due within 30 days of the invoice date. Late payments may incur interest charges in accordance with the Australian Consumer Law.</w:t>
      </w:r>
    </w:p>
    <w:p>
      <w:pPr>
        <w:pStyle w:val="BodyText"/>
      </w:pPr>
      <w:r>
        <w:t xml:space="preserve">If you have any questions regarding this invoice or the engineering services provided, please contact our accounts department immediately.</w:t>
      </w:r>
    </w:p>
    <w:bookmarkEnd w:id="24"/>
    <w:p>
      <w:pPr>
        <w:pStyle w:val="BodyText"/>
      </w:pPr>
      <w:r>
        <w:t xml:space="preserve">Melbourne Industrial Engineering Solutions Pty Ltd | ABN 12 345 678 901</w:t>
      </w:r>
    </w:p>
    <w:p>
      <w:pPr>
        <w:pStyle w:val="BodyText"/>
      </w:pPr>
      <w:r>
        <w:t xml:space="preserve">Providing expert Industrial Engineering services across Australia, Melbourne, and Victoria.</w:t>
      </w:r>
    </w:p>
    <w:p>
      <w:pPr>
        <w:pStyle w:val="BodyText"/>
      </w:pP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2026-10-10T03:38:31Z</dcterms:created>
  <dcterms:modified xsi:type="dcterms:W3CDTF">2026-10-10T03:38:31Z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