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flow-engineering-gmbh"/>
    <w:p>
      <w:pPr>
        <w:pStyle w:val="Heading1"/>
      </w:pPr>
      <w:r>
        <w:t xml:space="preserve">OptiFlow Engineering GmbH</w:t>
      </w:r>
    </w:p>
    <w:p>
      <w:pPr>
        <w:pStyle w:val="FirstParagraph"/>
      </w:pPr>
      <w:r>
        <w:rPr>
          <w:bCs/>
          <w:b/>
        </w:rPr>
        <w:t xml:space="preserve">Specialized Industrial Engineering Solutions</w:t>
      </w:r>
    </w:p>
    <w:p>
      <w:pPr>
        <w:pStyle w:val="BodyText"/>
      </w:pPr>
      <w:r>
        <w:t xml:space="preserve">Unter den Linden 77</w:t>
      </w:r>
    </w:p>
    <w:p>
      <w:pPr>
        <w:pStyle w:val="BodyText"/>
      </w:pPr>
      <w:r>
        <w:t xml:space="preserve">10117 Berlin, Germany</w:t>
      </w:r>
    </w:p>
    <w:p>
      <w:pPr>
        <w:pStyle w:val="BodyText"/>
      </w:pPr>
      <w:r>
        <w:t xml:space="preserve">USt-IdNr.: DE123456789</w:t>
      </w:r>
    </w:p>
    <w:p>
      <w:pPr>
        <w:pStyle w:val="BodyText"/>
      </w:pPr>
      <w:r>
        <w:t xml:space="preserve">HRA 98765 (Amtsgericht Berlin-Charlottenburg)</w:t>
      </w:r>
    </w:p>
    <w:p>
      <w:pPr>
        <w:pStyle w:val="BodyText"/>
      </w:pPr>
      <w:r>
        <w:t xml:space="preserve">Email: billing@optiflow-berlin.de</w:t>
      </w:r>
    </w:p>
    <w:p>
      <w:pPr>
        <w:pStyle w:val="BodyText"/>
      </w:pPr>
      <w:r>
        <w:t xml:space="preserve">Phone: +49 30 12345678</w:t>
      </w:r>
    </w:p>
    <w:bookmarkEnd w:id="20"/>
    <w:bookmarkStart w:id="21" w:name="invoice"/>
    <w:p>
      <w:pPr>
        <w:pStyle w:val="Heading2"/>
      </w:pPr>
      <w:r>
        <w:t xml:space="preserve">INVOICE</w:t>
      </w:r>
    </w:p>
    <w:p>
      <w:pPr>
        <w:pStyle w:val="FirstParagraph"/>
      </w:pPr>
      <w:r>
        <w:t xml:space="preserve">Invoice No: INV-2023-10-042</w:t>
      </w:r>
    </w:p>
    <w:p>
      <w:pPr>
        <w:pStyle w:val="BodyText"/>
      </w:pPr>
      <w:r>
        <w:t xml:space="preserve">Date: October 24, 2023</w:t>
      </w:r>
    </w:p>
    <w:p>
      <w:pPr>
        <w:pStyle w:val="BodyText"/>
      </w:pPr>
      <w:r>
        <w:t xml:space="preserve">Due Date: November 24, 2023</w:t>
      </w:r>
    </w:p>
    <w:p>
      <w:pPr>
        <w:pStyle w:val="BodyText"/>
      </w:pPr>
      <w:r>
        <w:t xml:space="preserve">Reference: Project Alpha Optimization</w:t>
      </w:r>
    </w:p>
    <w:bookmarkEnd w:id="21"/>
    <w:bookmarkStart w:id="22" w:name="bill-to"/>
    <w:p>
      <w:pPr>
        <w:pStyle w:val="Heading3"/>
      </w:pPr>
      <w:r>
        <w:t xml:space="preserve">Bill To:</w:t>
      </w:r>
    </w:p>
    <w:p>
      <w:pPr>
        <w:pStyle w:val="FirstParagraph"/>
      </w:pPr>
      <w:r>
        <w:rPr>
          <w:bCs/>
          <w:b/>
        </w:rPr>
        <w:t xml:space="preserve">TechnoLogistics Berlin AG</w:t>
      </w:r>
    </w:p>
    <w:p>
      <w:pPr>
        <w:pStyle w:val="BodyText"/>
      </w:pPr>
      <w:r>
        <w:t xml:space="preserve">Attn: Procurement Department</w:t>
      </w:r>
    </w:p>
    <w:p>
      <w:pPr>
        <w:pStyle w:val="BodyText"/>
      </w:pPr>
      <w:r>
        <w:t xml:space="preserve">Friedrichstraße 95</w:t>
      </w:r>
    </w:p>
    <w:p>
      <w:pPr>
        <w:pStyle w:val="BodyText"/>
      </w:pPr>
      <w:r>
        <w:t xml:space="preserve">10117 Berlin, Germany</w:t>
      </w:r>
    </w:p>
    <w:p>
      <w:pPr>
        <w:pStyle w:val="BodyText"/>
      </w:pPr>
      <w:r>
        <w:t xml:space="preserve">USt-IdNr.: DE987654321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audit of current manufacturing workflows at the Berlin facility. This service, provided by a certified Industrial Engineer, involved time-and-motion studies to identify bottlenecks in the assembly line. The analysis focused on reducing cycle times and improving overall equipment effectiveness (OEE) in accordance with German industrial standards.</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tailored Lean Six Sigma roadmap. The Industrial Engineer conducted workshops with local staff in Berlin to train supervisors on waste reduction techniques (Muda). This includes the design of a new Kanban system for inventory management to ensure just-in-time delivery within the supply chain network.</w:t>
            </w:r>
          </w:p>
        </w:tc>
        <w:tc>
          <w:tcPr/>
          <w:p>
            <w:pPr>
              <w:pStyle w:val="Compact"/>
              <w:jc w:val="left"/>
            </w:pPr>
            <w:r>
              <w:t xml:space="preserve">25.0</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Facility Layout Redesign</w:t>
            </w:r>
            <w:r>
              <w:br/>
            </w:r>
            <w:r>
              <w:t xml:space="preserve">Creation of CAD-based facility layouts to optimize material flow and worker safety. The Industrial Engineer utilized simulation software to model different configurations for the Berlin warehouse, ensuring compliance with local safety regulations and maximizing space utilization efficiency.</w:t>
            </w:r>
          </w:p>
        </w:tc>
        <w:tc>
          <w:tcPr/>
          <w:p>
            <w:pPr>
              <w:pStyle w:val="Compact"/>
              <w:jc w:val="left"/>
            </w:pPr>
            <w:r>
              <w:t xml:space="preserve">30.0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Quality Control System Integration</w:t>
            </w:r>
            <w:r>
              <w:br/>
            </w:r>
            <w:r>
              <w:t xml:space="preserve">Design and implementation of statistical process control (SPC) charts. The Industrial Engineer established new quality metrics to monitor production variance. This service ensures that the manufacturing output meets the rigorous quality expectations required for export from Germany.</w:t>
            </w:r>
          </w:p>
        </w:tc>
        <w:tc>
          <w:tcPr/>
          <w:p>
            <w:pPr>
              <w:pStyle w:val="Compact"/>
              <w:jc w:val="left"/>
            </w:pPr>
            <w:r>
              <w:t xml:space="preserve">15.0</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Final Reporting and Consultation</w:t>
            </w:r>
            <w:r>
              <w:br/>
            </w:r>
            <w:r>
              <w:t xml:space="preserve">Compilation of a detailed technical report summarizing findings, recommendations, and projected ROI. Includes a final consultation meeting in Berlin to present the data to stakeholders and outline the next steps for continuous improvement.</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14,400.00 EUR</w:t>
      </w:r>
    </w:p>
    <w:p>
      <w:pPr>
        <w:pStyle w:val="BodyText"/>
      </w:pPr>
      <w:r>
        <w:t xml:space="preserve">VAT (19% - Germany Standard Rate):</w:t>
      </w:r>
      <w:r>
        <w:t xml:space="preserve"> </w:t>
      </w:r>
      <w:r>
        <w:t xml:space="preserve">2,736.00 EUR</w:t>
      </w:r>
    </w:p>
    <w:p>
      <w:pPr>
        <w:pStyle w:val="BodyText"/>
      </w:pPr>
      <w:r>
        <w:t xml:space="preserve">Total Due:</w:t>
      </w:r>
      <w:r>
        <w:t xml:space="preserve"> </w:t>
      </w:r>
      <w:r>
        <w:t xml:space="preserve">17,136.00 EUR</w:t>
      </w:r>
    </w:p>
    <w:bookmarkStart w:id="23" w:name="payment-terms-and-banking-information"/>
    <w:p>
      <w:pPr>
        <w:pStyle w:val="Heading4"/>
      </w:pPr>
      <w:r>
        <w:t xml:space="preserve">Payment Terms and Banking Information</w:t>
      </w:r>
    </w:p>
    <w:p>
      <w:pPr>
        <w:pStyle w:val="FirstParagraph"/>
      </w:pPr>
      <w:r>
        <w:rPr>
          <w:bCs/>
          <w:b/>
        </w:rPr>
        <w:t xml:space="preserve">Payment Method:</w:t>
      </w:r>
      <w:r>
        <w:t xml:space="preserve"> </w:t>
      </w:r>
      <w:r>
        <w:t xml:space="preserve">Bank Transfer (SEPA)</w:t>
      </w:r>
    </w:p>
    <w:p>
      <w:pPr>
        <w:pStyle w:val="BodyText"/>
      </w:pPr>
      <w:r>
        <w:rPr>
          <w:bCs/>
          <w:b/>
        </w:rPr>
        <w:t xml:space="preserve">Bank Name:</w:t>
      </w:r>
      <w:r>
        <w:t xml:space="preserve"> </w:t>
      </w:r>
      <w:r>
        <w:t xml:space="preserve">Deutsche Bank AG, Berlin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DEUTDEDBBER</w:t>
      </w:r>
    </w:p>
    <w:p>
      <w:pPr>
        <w:pStyle w:val="BodyText"/>
      </w:pPr>
      <w:r>
        <w:rPr>
          <w:bCs/>
          <w:b/>
        </w:rPr>
        <w:t xml:space="preserve">Reference:</w:t>
      </w:r>
      <w:r>
        <w:t xml:space="preserve"> </w:t>
      </w:r>
      <w:r>
        <w:t xml:space="preserve">Please use Invoice No. INV-2023-10-042 as the payment reference.</w:t>
      </w:r>
    </w:p>
    <w:p>
      <w:pPr>
        <w:pStyle w:val="BodyText"/>
      </w:pPr>
      <w:r>
        <w:br/>
      </w:r>
    </w:p>
    <w:p>
      <w:pPr>
        <w:pStyle w:val="BodyText"/>
      </w:pPr>
      <w:r>
        <w:rPr>
          <w:bCs/>
          <w:b/>
        </w:rPr>
        <w:t xml:space="preserve">Terms:</w:t>
      </w:r>
      <w:r>
        <w:t xml:space="preserve"> </w:t>
      </w:r>
      <w:r>
        <w:t xml:space="preserve">Payment is due within 30 days of the invoice date. Late payments may incur interest charges in accordance with German law (§ 288 BGB). Please ensure that all banking details are verified before initiating the transfer.</w:t>
      </w:r>
    </w:p>
    <w:p>
      <w:pPr>
        <w:pStyle w:val="BodyText"/>
      </w:pPr>
      <w:r>
        <w:br/>
      </w:r>
    </w:p>
    <w:p>
      <w:pPr>
        <w:pStyle w:val="BodyText"/>
      </w:pPr>
      <w:r>
        <w:rPr>
          <w:bCs/>
          <w:b/>
        </w:rPr>
        <w:t xml:space="preserve">Service Scope Note:</w:t>
      </w:r>
      <w:r>
        <w:t xml:space="preserve"> </w:t>
      </w:r>
      <w:r>
        <w:t xml:space="preserve">This invoice covers professional services rendered by a qualified Industrial Engineer specializing in operational efficiency. The methodologies applied are based on international best practices adapted specifically for the industrial landscape in Germany Berlin. All data collected during the analysis remains the confidential property of TechnoLogistics Berlin AG.</w:t>
      </w:r>
    </w:p>
    <w:bookmarkEnd w:id="23"/>
    <w:p>
      <w:pPr>
        <w:pStyle w:val="BodyText"/>
      </w:pPr>
      <w:r>
        <w:t xml:space="preserve">OptiFlow Engineering GmbH | Unter den Linden 77, 10117 Berlin, Germany</w:t>
      </w:r>
    </w:p>
    <w:p>
      <w:pPr>
        <w:pStyle w:val="BodyText"/>
      </w:pPr>
      <w:r>
        <w:t xml:space="preserve">Thank you for your business. We look forward to continuing our partnership in optimizing your industrial processes.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2026-10-10T04:30:16Z</dcterms:created>
  <dcterms:modified xsi:type="dcterms:W3CDTF">2026-10-10T04:30:16Z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