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msterdam-industrial-solutions"/>
    <w:p>
      <w:pPr>
        <w:pStyle w:val="Heading1"/>
      </w:pPr>
      <w:r>
        <w:t xml:space="preserve">Amsterdam Industrial Solutions</w:t>
      </w:r>
    </w:p>
    <w:p>
      <w:pPr>
        <w:pStyle w:val="FirstParagraph"/>
      </w:pPr>
      <w:r>
        <w:t xml:space="preserve">Specialized Industrial Engineering Consultancy</w:t>
      </w:r>
    </w:p>
    <w:p>
      <w:pPr>
        <w:pStyle w:val="BodyText"/>
      </w:pPr>
      <w:r>
        <w:t xml:space="preserve">Ketelhaven 12, 1019 CX Amsterdam</w:t>
      </w:r>
    </w:p>
    <w:p>
      <w:pPr>
        <w:pStyle w:val="BodyText"/>
      </w:pPr>
      <w:r>
        <w:t xml:space="preserve">The Netherlands</w:t>
      </w:r>
    </w:p>
    <w:p>
      <w:pPr>
        <w:pStyle w:val="BodyText"/>
      </w:pPr>
      <w:r>
        <w:t xml:space="preserve">KVK: 88123456 | BTW: NL856712345B01</w:t>
      </w:r>
    </w:p>
    <w:p>
      <w:pPr>
        <w:pStyle w:val="BodyText"/>
      </w:pPr>
      <w:r>
        <w:t xml:space="preserve">info@amsterdamindustrial.nl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Logistics Hub Amsterdam B.V.</w:t>
      </w:r>
    </w:p>
    <w:p>
      <w:pPr>
        <w:pStyle w:val="BodyText"/>
      </w:pPr>
      <w:r>
        <w:t xml:space="preserve">Attn: Procurement Department</w:t>
      </w:r>
    </w:p>
    <w:p>
      <w:pPr>
        <w:pStyle w:val="BodyText"/>
      </w:pPr>
      <w:r>
        <w:t xml:space="preserve">De Boelelaan 1234</w:t>
      </w:r>
    </w:p>
    <w:p>
      <w:pPr>
        <w:pStyle w:val="BodyText"/>
      </w:pPr>
      <w:r>
        <w:t xml:space="preserve">1083 HJ Amsterdam</w:t>
      </w:r>
    </w:p>
    <w:p>
      <w:pPr>
        <w:pStyle w:val="BodyText"/>
      </w:pPr>
      <w:r>
        <w:t xml:space="preserve">The Netherlands</w:t>
      </w:r>
    </w:p>
    <w:p>
      <w:pPr>
        <w:pStyle w:val="BodyText"/>
      </w:pPr>
      <w:r>
        <w:t xml:space="preserve">BTW: NL987654321B01</w:t>
      </w:r>
    </w:p>
    <w:bookmarkEnd w:id="22"/>
    <w:bookmarkStart w:id="23" w:name="project-location"/>
    <w:p>
      <w:pPr>
        <w:pStyle w:val="Heading3"/>
      </w:pPr>
      <w:r>
        <w:t xml:space="preserve">Project Location</w:t>
      </w:r>
    </w:p>
    <w:p>
      <w:pPr>
        <w:pStyle w:val="FirstParagraph"/>
      </w:pPr>
      <w:r>
        <w:rPr>
          <w:bCs/>
          <w:b/>
        </w:rPr>
        <w:t xml:space="preserve">Amsterdam Port Logistics Center</w:t>
      </w:r>
    </w:p>
    <w:p>
      <w:pPr>
        <w:pStyle w:val="BodyText"/>
      </w:pPr>
      <w:r>
        <w:t xml:space="preserve">Westergasfabriek</w:t>
      </w:r>
    </w:p>
    <w:p>
      <w:pPr>
        <w:pStyle w:val="BodyText"/>
      </w:pPr>
      <w:r>
        <w:t xml:space="preserve">1013 GR Amsterdam</w:t>
      </w:r>
    </w:p>
    <w:p>
      <w:pPr>
        <w:pStyle w:val="BodyText"/>
      </w:pPr>
      <w:r>
        <w:t xml:space="preserve">The Netherlands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evaluation of current material handling workflows at the Amsterdam facility. This service includes time-motion studies, bottleneck identification, and lean manufacturing assessment to improve throughput efficiency within the warehouse environment.</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Facility Layout Redesign</w:t>
            </w:r>
            <w:r>
              <w:br/>
            </w:r>
            <w:r>
              <w:t xml:space="preserve">Development of a new spatial layout for the production floor to maximize space utilization and minimize travel distance for forklifts and personnel. Includes CAD drafting and simulation modeling tailored to the specific constraints of the Amsterdam site.</w:t>
            </w:r>
          </w:p>
        </w:tc>
        <w:tc>
          <w:tcPr/>
          <w:p>
            <w:pPr>
              <w:pStyle w:val="Compact"/>
              <w:jc w:val="left"/>
            </w:pPr>
            <w:r>
              <w:t xml:space="preserve">25.0</w:t>
            </w:r>
          </w:p>
        </w:tc>
        <w:tc>
          <w:tcPr/>
          <w:p>
            <w:pPr>
              <w:pStyle w:val="Compact"/>
              <w:jc w:val="left"/>
            </w:pPr>
            <w:r>
              <w:t xml:space="preserve">135.00</w:t>
            </w:r>
          </w:p>
        </w:tc>
        <w:tc>
          <w:tcPr/>
          <w:p>
            <w:pPr>
              <w:pStyle w:val="Compact"/>
              <w:jc w:val="left"/>
            </w:pPr>
            <w:r>
              <w:t xml:space="preserve">3,375.00</w:t>
            </w:r>
          </w:p>
        </w:tc>
      </w:tr>
      <w:tr>
        <w:tc>
          <w:tcPr/>
          <w:p>
            <w:pPr>
              <w:pStyle w:val="Compact"/>
              <w:jc w:val="left"/>
            </w:pPr>
            <w:r>
              <w:t xml:space="preserve">3</w:t>
            </w:r>
          </w:p>
        </w:tc>
        <w:tc>
          <w:tcPr/>
          <w:p>
            <w:pPr>
              <w:pStyle w:val="Compact"/>
              <w:jc w:val="left"/>
            </w:pPr>
            <w:r>
              <w:rPr>
                <w:bCs/>
                <w:b/>
              </w:rPr>
              <w:t xml:space="preserve">Supply Chain Risk Assessment</w:t>
            </w:r>
            <w:r>
              <w:br/>
            </w:r>
            <w:r>
              <w:t xml:space="preserve">Strategic consultation regarding supply chain resilience. Analysis of vendor reliability and inventory levels to mitigate risks associated with port delays in the Netherlands. Recommendations for safety stock adjustments and alternative sourcing strategies.</w:t>
            </w:r>
          </w:p>
        </w:tc>
        <w:tc>
          <w:tcPr/>
          <w:p>
            <w:pPr>
              <w:pStyle w:val="Compact"/>
              <w:jc w:val="left"/>
            </w:pPr>
            <w:r>
              <w:t xml:space="preserve">15.0</w:t>
            </w:r>
          </w:p>
        </w:tc>
        <w:tc>
          <w:tcPr/>
          <w:p>
            <w:pPr>
              <w:pStyle w:val="Compact"/>
              <w:jc w:val="left"/>
            </w:pPr>
            <w:r>
              <w:t xml:space="preserve">140.00</w:t>
            </w:r>
          </w:p>
        </w:tc>
        <w:tc>
          <w:tcPr/>
          <w:p>
            <w:pPr>
              <w:pStyle w:val="Compact"/>
              <w:jc w:val="left"/>
            </w:pPr>
            <w:r>
              <w:t xml:space="preserve">2,100.00</w:t>
            </w:r>
          </w:p>
        </w:tc>
      </w:tr>
      <w:tr>
        <w:tc>
          <w:tcPr/>
          <w:p>
            <w:pPr>
              <w:pStyle w:val="Compact"/>
              <w:jc w:val="left"/>
            </w:pPr>
            <w:r>
              <w:t xml:space="preserve">4</w:t>
            </w:r>
          </w:p>
        </w:tc>
        <w:tc>
          <w:tcPr/>
          <w:p>
            <w:pPr>
              <w:pStyle w:val="Compact"/>
              <w:jc w:val="left"/>
            </w:pPr>
            <w:r>
              <w:rPr>
                <w:bCs/>
                <w:b/>
              </w:rPr>
              <w:t xml:space="preserve">Quality Control System Implementation</w:t>
            </w:r>
            <w:r>
              <w:br/>
            </w:r>
            <w:r>
              <w:t xml:space="preserve">Design and implementation of a Six Sigma-based quality control framework. Training sessions provided for local staff in Amsterdam on statistical process control (SPC) tools and defect reduction methodologies.</w:t>
            </w:r>
          </w:p>
        </w:tc>
        <w:tc>
          <w:tcPr/>
          <w:p>
            <w:pPr>
              <w:pStyle w:val="Compact"/>
              <w:jc w:val="left"/>
            </w:pPr>
            <w:r>
              <w:t xml:space="preserve">20.0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5</w:t>
            </w:r>
          </w:p>
        </w:tc>
        <w:tc>
          <w:tcPr/>
          <w:p>
            <w:pPr>
              <w:pStyle w:val="Compact"/>
              <w:jc w:val="left"/>
            </w:pPr>
            <w:r>
              <w:rPr>
                <w:bCs/>
                <w:b/>
              </w:rPr>
              <w:t xml:space="preserve">Automation Feasibility Study</w:t>
            </w:r>
            <w:r>
              <w:br/>
            </w:r>
            <w:r>
              <w:t xml:space="preserve">Technical assessment of potential automation opportunities for packaging lines. Cost-benefit analysis of robotic integration versus manual labor, considering Dutch labor regulations and energy efficiency standards.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14,575.00</w:t>
            </w:r>
          </w:p>
        </w:tc>
      </w:tr>
      <w:tr>
        <w:tc>
          <w:tcPr/>
          <w:p>
            <w:pPr>
              <w:pStyle w:val="Compact"/>
              <w:jc w:val="left"/>
            </w:pPr>
            <w:r>
              <w:t xml:space="preserve">VAT (21%):</w:t>
            </w:r>
          </w:p>
        </w:tc>
        <w:tc>
          <w:tcPr/>
          <w:p>
            <w:pPr>
              <w:pStyle w:val="Compact"/>
              <w:jc w:val="left"/>
            </w:pPr>
            <w:r>
              <w:t xml:space="preserve">3,060.75</w:t>
            </w:r>
          </w:p>
        </w:tc>
      </w:tr>
      <w:tr>
        <w:tc>
          <w:tcPr/>
          <w:p>
            <w:pPr>
              <w:pStyle w:val="Compact"/>
              <w:jc w:val="left"/>
            </w:pPr>
            <w:r>
              <w:t xml:space="preserve">Total Due:</w:t>
            </w:r>
          </w:p>
        </w:tc>
        <w:tc>
          <w:tcPr/>
          <w:p>
            <w:pPr>
              <w:pStyle w:val="Compact"/>
              <w:jc w:val="left"/>
            </w:pPr>
            <w:r>
              <w:t xml:space="preserve">17,635.75</w:t>
            </w:r>
          </w:p>
        </w:tc>
      </w:tr>
    </w:tbl>
    <w:bookmarkStart w:id="24" w:name="terms-and-conditions"/>
    <w:p>
      <w:pPr>
        <w:pStyle w:val="Heading4"/>
      </w:pPr>
      <w:r>
        <w:t xml:space="preserve">Terms and Conditions</w:t>
      </w:r>
    </w:p>
    <w:p>
      <w:pPr>
        <w:pStyle w:val="FirstParagraph"/>
      </w:pPr>
      <w:r>
        <w:t xml:space="preserve">1. Payment is due within 30 days of the invoice date. Late payments may incur interest at the statutory rate applicable in the Netherlands.</w:t>
      </w:r>
    </w:p>
    <w:p>
      <w:pPr>
        <w:pStyle w:val="BodyText"/>
      </w:pPr>
      <w:r>
        <w:t xml:space="preserve">2. All services rendered are subject to the standard terms of business of Amsterdam Industrial Solutions.</w:t>
      </w:r>
    </w:p>
    <w:p>
      <w:pPr>
        <w:pStyle w:val="BodyText"/>
      </w:pPr>
      <w:r>
        <w:t xml:space="preserve">3. Please quote the Invoice Number (INV-2023-10-045) on all payments.</w:t>
      </w:r>
    </w:p>
    <w:p>
      <w:pPr>
        <w:pStyle w:val="BodyText"/>
      </w:pPr>
      <w:r>
        <w:t xml:space="preserve">4. This invoice covers professional services provided by certified Industrial Engineers specializing in logistics and manufacturing optimization.</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ING Bank N.V.</w:t>
      </w:r>
    </w:p>
    <w:p>
      <w:pPr>
        <w:pStyle w:val="BodyText"/>
      </w:pPr>
      <w:r>
        <w:rPr>
          <w:bCs/>
          <w:b/>
        </w:rPr>
        <w:t xml:space="preserve">Account Name:</w:t>
      </w:r>
      <w:r>
        <w:t xml:space="preserve"> </w:t>
      </w:r>
      <w:r>
        <w:t xml:space="preserve">Amsterdam Industrial Solutions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INV-2023-10-045</w:t>
      </w:r>
    </w:p>
    <w:bookmarkEnd w:id="25"/>
    <w:p>
      <w:pPr>
        <w:pStyle w:val="BodyText"/>
      </w:pPr>
      <w:r>
        <w:t xml:space="preserve">Thank you for your business. We look forward to continuing our partnership in optimizing your industrial operations in Amsterdam.</w:t>
      </w:r>
    </w:p>
    <w:p>
      <w:pPr>
        <w:pStyle w:val="BodyText"/>
      </w:pPr>
      <w:r>
        <w:t xml:space="preserve">Amsterdam Industrial Solutions B.V. | Registered in Amsterdam,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2026-10-10T01:55:31Z</dcterms:created>
  <dcterms:modified xsi:type="dcterms:W3CDTF">2026-10-10T01:55:31Z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