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solutions"/>
    <w:p>
      <w:pPr>
        <w:pStyle w:val="Heading1"/>
      </w:pPr>
      <w:r>
        <w:t xml:space="preserve">OptiFlow Engineering Solutions</w:t>
      </w:r>
    </w:p>
    <w:p>
      <w:pPr>
        <w:pStyle w:val="FirstParagraph"/>
      </w:pPr>
      <w:r>
        <w:t xml:space="preserve">Specialized Industrial Engineering Consultancy</w:t>
      </w:r>
    </w:p>
    <w:p>
      <w:pPr>
        <w:pStyle w:val="BodyText"/>
      </w:pPr>
      <w:r>
        <w:t xml:space="preserve">19th Line, Vasilievsky Island, House 42, Office 305</w:t>
      </w:r>
    </w:p>
    <w:p>
      <w:pPr>
        <w:pStyle w:val="BodyText"/>
      </w:pPr>
      <w:r>
        <w:t xml:space="preserve">Saint Petersburg, Russia, 199178</w:t>
      </w:r>
    </w:p>
    <w:p>
      <w:pPr>
        <w:pStyle w:val="BodyText"/>
      </w:pPr>
      <w:r>
        <w:t xml:space="preserve">Email: billing@optiflow-eng.ru | Phone: +7 (812) 555-01-99</w:t>
      </w:r>
    </w:p>
    <w:p>
      <w:pPr>
        <w:pStyle w:val="BodyText"/>
      </w:pPr>
      <w:r>
        <w:t xml:space="preserve">INN: 7801234567 | KPP: 780101001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SPB-LOGISTICS-OPT-2023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Northern Logistics &amp; Manufacturing Group LLC</w:t>
      </w:r>
    </w:p>
    <w:p>
      <w:pPr>
        <w:pStyle w:val="BodyText"/>
      </w:pPr>
      <w:r>
        <w:rPr>
          <w:bCs/>
          <w:b/>
        </w:rPr>
        <w:t xml:space="preserve">Address:</w:t>
      </w:r>
      <w:r>
        <w:t xml:space="preserve"> </w:t>
      </w:r>
      <w:r>
        <w:t xml:space="preserve">Nevsky Prospect, 120, Building A, Floor 12</w:t>
      </w:r>
    </w:p>
    <w:p>
      <w:pPr>
        <w:pStyle w:val="BodyText"/>
      </w:pPr>
      <w:r>
        <w:t xml:space="preserve">Saint Petersburg, Russia, 191025</w:t>
      </w:r>
    </w:p>
    <w:p>
      <w:pPr>
        <w:pStyle w:val="BodyText"/>
      </w:pPr>
      <w:r>
        <w:rPr>
          <w:bCs/>
          <w:b/>
        </w:rPr>
        <w:t xml:space="preserve">Contact Person:</w:t>
      </w:r>
      <w:r>
        <w:t xml:space="preserve"> </w:t>
      </w:r>
      <w:r>
        <w:t xml:space="preserve">Mr. Alexander Petrov, Chief Operations Officer</w:t>
      </w:r>
    </w:p>
    <w:p>
      <w:pPr>
        <w:pStyle w:val="BodyText"/>
      </w:pPr>
      <w:r>
        <w:rPr>
          <w:bCs/>
          <w:b/>
        </w:rPr>
        <w:t xml:space="preserve">Email:</w:t>
      </w:r>
      <w:r>
        <w:t xml:space="preserve"> </w:t>
      </w:r>
      <w:r>
        <w:t xml:space="preserve">a.petrov@northernlogistics.ru</w:t>
      </w:r>
    </w:p>
    <w:p>
      <w:pPr>
        <w:pStyle w:val="BodyText"/>
      </w:pPr>
      <w:r>
        <w:rPr>
          <w:bCs/>
          <w:b/>
        </w:rPr>
        <w:t xml:space="preserve">Phone:</w:t>
      </w:r>
      <w:r>
        <w:t xml:space="preserve"> </w:t>
      </w:r>
      <w:r>
        <w:t xml:space="preserve">+7 (812) 333-44-55</w:t>
      </w:r>
    </w:p>
    <w:bookmarkEnd w:id="22"/>
    <w:bookmarkStart w:id="24" w:name="X07296ef4fb882218b3fc477e5be3b00252b1191"/>
    <w:p>
      <w:pPr>
        <w:pStyle w:val="Heading3"/>
      </w:pPr>
      <w:r>
        <w:t xml:space="preserve">Service Description: Industrial Engineering Optimization in Saint Petersburg</w:t>
      </w:r>
    </w:p>
    <w:p>
      <w:pPr>
        <w:pStyle w:val="FirstParagraph"/>
      </w:pPr>
      <w:r>
        <w:t xml:space="preserve">This invoice covers professional services rendered by a certified Industrial Engineer to optimize manufacturing workflows, reduce operational waste, and enhance supply chain efficiency within the client's facility located in the industrial district of Saint Petersburg, Russia. The scope includes on-site analysis, process mapping, and strategic implementation planning tailored to the specific regulatory and logistical environment of the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Initial Site Assessment &amp; Time-Motion Study:</w:t>
            </w:r>
            <w:r>
              <w:br/>
            </w:r>
            <w:r>
              <w:t xml:space="preserve">Comprehensive analysis of production lines at the Saint Petersburg facility. The Industrial Engineer conducted detailed time-and-motion studies to identify bottlenecks, unnecessary movements, and inefficiencies in the assembly process. This included direct observation of 50+ operators and mapping of material flow across the warehouse floor.</w:t>
            </w:r>
          </w:p>
        </w:tc>
        <w:tc>
          <w:tcPr/>
          <w:p>
            <w:pPr>
              <w:pStyle w:val="Compact"/>
              <w:jc w:val="left"/>
            </w:pPr>
            <w:r>
              <w:t xml:space="preserve">40 hrs</w:t>
            </w:r>
          </w:p>
        </w:tc>
        <w:tc>
          <w:tcPr/>
          <w:p>
            <w:pPr>
              <w:pStyle w:val="Compact"/>
              <w:jc w:val="left"/>
            </w:pPr>
            <w:r>
              <w:t xml:space="preserve">4,500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Process Re-engineering &amp; Layout Optimization:</w:t>
            </w:r>
            <w:r>
              <w:br/>
            </w:r>
            <w:r>
              <w:t xml:space="preserve">Development of a new facility layout designed to minimize material handling costs and improve throughput. The Industrial Engineer utilized CAD software to simulate new workflows, ensuring compliance with Russian safety standards (GOST) and ergonomic requirements. This phase included stakeholder workshops in Saint Petersburg to align engineering solutions with operational goals.</w:t>
            </w:r>
          </w:p>
        </w:tc>
        <w:tc>
          <w:tcPr/>
          <w:p>
            <w:pPr>
              <w:pStyle w:val="Compact"/>
              <w:jc w:val="left"/>
            </w:pPr>
            <w:r>
              <w:t xml:space="preserve">30 hrs</w:t>
            </w:r>
          </w:p>
        </w:tc>
        <w:tc>
          <w:tcPr/>
          <w:p>
            <w:pPr>
              <w:pStyle w:val="Compact"/>
              <w:jc w:val="left"/>
            </w:pPr>
            <w:r>
              <w:t xml:space="preserve">4,500</w:t>
            </w:r>
          </w:p>
        </w:tc>
        <w:tc>
          <w:tcPr/>
          <w:p>
            <w:pPr>
              <w:pStyle w:val="Compact"/>
              <w:jc w:val="left"/>
            </w:pPr>
            <w:r>
              <w:t xml:space="preserve">135,000.00</w:t>
            </w:r>
          </w:p>
        </w:tc>
      </w:tr>
      <w:tr>
        <w:tc>
          <w:tcPr/>
          <w:p>
            <w:pPr>
              <w:pStyle w:val="Compact"/>
              <w:jc w:val="left"/>
            </w:pPr>
            <w:r>
              <w:t xml:space="preserve">3</w:t>
            </w:r>
          </w:p>
        </w:tc>
        <w:tc>
          <w:tcPr/>
          <w:p>
            <w:pPr>
              <w:pStyle w:val="Compact"/>
              <w:jc w:val="left"/>
            </w:pPr>
            <w:r>
              <w:rPr>
                <w:bCs/>
                <w:b/>
              </w:rPr>
              <w:t xml:space="preserve">Supply Chain &amp; Inventory Analysis:</w:t>
            </w:r>
            <w:r>
              <w:br/>
            </w:r>
            <w:r>
              <w:t xml:space="preserve">Evaluation of current inventory management systems and supplier lead times specific to the Northern Federal District. The Industrial Engineer implemented a Just-In-Time (JIT) framework adapted for local logistics constraints, reducing excess stock holding by an estimated 18%. This involved data analysis of procurement records and coordination with local vendors in the Leningrad region.</w:t>
            </w:r>
          </w:p>
        </w:tc>
        <w:tc>
          <w:tcPr/>
          <w:p>
            <w:pPr>
              <w:pStyle w:val="Compact"/>
              <w:jc w:val="left"/>
            </w:pPr>
            <w:r>
              <w:t xml:space="preserve">25 hrs</w:t>
            </w:r>
          </w:p>
        </w:tc>
        <w:tc>
          <w:tcPr/>
          <w:p>
            <w:pPr>
              <w:pStyle w:val="Compact"/>
              <w:jc w:val="left"/>
            </w:pPr>
            <w:r>
              <w:t xml:space="preserve">4,500</w:t>
            </w:r>
          </w:p>
        </w:tc>
        <w:tc>
          <w:tcPr/>
          <w:p>
            <w:pPr>
              <w:pStyle w:val="Compact"/>
              <w:jc w:val="left"/>
            </w:pPr>
            <w:r>
              <w:t xml:space="preserve">112,500.00</w:t>
            </w:r>
          </w:p>
        </w:tc>
      </w:tr>
      <w:tr>
        <w:tc>
          <w:tcPr/>
          <w:p>
            <w:pPr>
              <w:pStyle w:val="Compact"/>
              <w:jc w:val="left"/>
            </w:pPr>
            <w:r>
              <w:t xml:space="preserve">4</w:t>
            </w:r>
          </w:p>
        </w:tc>
        <w:tc>
          <w:tcPr/>
          <w:p>
            <w:pPr>
              <w:pStyle w:val="Compact"/>
              <w:jc w:val="left"/>
            </w:pPr>
            <w:r>
              <w:rPr>
                <w:bCs/>
                <w:b/>
              </w:rPr>
              <w:t xml:space="preserve">Staff Training &amp; Implementation Support:</w:t>
            </w:r>
            <w:r>
              <w:br/>
            </w:r>
            <w:r>
              <w:t xml:space="preserve">On-site training sessions for floor managers and supervisors on new standard operating procedures (SOPs). The Industrial Engineer facilitated three full-day workshops in Saint Petersburg to ensure smooth adoption of the optimized processes, providing detailed manuals in Russian and English to support bilingual staff.</w:t>
            </w:r>
          </w:p>
        </w:tc>
        <w:tc>
          <w:tcPr/>
          <w:p>
            <w:pPr>
              <w:pStyle w:val="Compact"/>
              <w:jc w:val="left"/>
            </w:pPr>
            <w:r>
              <w:t xml:space="preserve">20 hrs</w:t>
            </w:r>
          </w:p>
        </w:tc>
        <w:tc>
          <w:tcPr/>
          <w:p>
            <w:pPr>
              <w:pStyle w:val="Compact"/>
              <w:jc w:val="left"/>
            </w:pPr>
            <w:r>
              <w:t xml:space="preserve">4,500</w:t>
            </w:r>
          </w:p>
        </w:tc>
        <w:tc>
          <w:tcPr/>
          <w:p>
            <w:pPr>
              <w:pStyle w:val="Compact"/>
              <w:jc w:val="left"/>
            </w:pPr>
            <w:r>
              <w:t xml:space="preserve">90,000.00</w:t>
            </w:r>
          </w:p>
        </w:tc>
      </w:tr>
      <w:tr>
        <w:tc>
          <w:tcPr/>
          <w:p>
            <w:pPr>
              <w:pStyle w:val="Compact"/>
              <w:jc w:val="left"/>
            </w:pPr>
            <w:r>
              <w:t xml:space="preserve">5</w:t>
            </w:r>
          </w:p>
        </w:tc>
        <w:tc>
          <w:tcPr/>
          <w:p>
            <w:pPr>
              <w:pStyle w:val="Compact"/>
              <w:jc w:val="left"/>
            </w:pPr>
            <w:r>
              <w:rPr>
                <w:bCs/>
                <w:b/>
              </w:rPr>
              <w:t xml:space="preserve">Final Reporting &amp; Strategic Roadmap:</w:t>
            </w:r>
            <w:r>
              <w:br/>
            </w:r>
            <w:r>
              <w:t xml:space="preserve">Preparation of a comprehensive final report detailing all findings, implemented changes, and projected ROI. The Industrial Engineer provided a 12-month strategic roadmap for continuous improvement, including KPIs for monitoring efficiency gains. This document serves as a baseline for future industrial engineering audits in the region.</w:t>
            </w:r>
          </w:p>
        </w:tc>
        <w:tc>
          <w:tcPr/>
          <w:p>
            <w:pPr>
              <w:pStyle w:val="Compact"/>
              <w:jc w:val="left"/>
            </w:pPr>
            <w:r>
              <w:t xml:space="preserve">15 hrs</w:t>
            </w:r>
          </w:p>
        </w:tc>
        <w:tc>
          <w:tcPr/>
          <w:p>
            <w:pPr>
              <w:pStyle w:val="Compact"/>
              <w:jc w:val="left"/>
            </w:pPr>
            <w:r>
              <w:t xml:space="preserve">4,500</w:t>
            </w:r>
          </w:p>
        </w:tc>
        <w:tc>
          <w:tcPr/>
          <w:p>
            <w:pPr>
              <w:pStyle w:val="Compact"/>
              <w:jc w:val="left"/>
            </w:pPr>
            <w:r>
              <w:t xml:space="preserve">67,500.00</w:t>
            </w:r>
          </w:p>
        </w:tc>
      </w:tr>
    </w:tbl>
    <w:p>
      <w:pPr>
        <w:pStyle w:val="BodyText"/>
      </w:pPr>
      <w:r>
        <w:t xml:space="preserve">Subtotal:</w:t>
      </w:r>
      <w:r>
        <w:t xml:space="preserve"> </w:t>
      </w:r>
      <w:r>
        <w:t xml:space="preserve">585,000.00 RUB</w:t>
      </w:r>
    </w:p>
    <w:p>
      <w:pPr>
        <w:pStyle w:val="BodyText"/>
      </w:pPr>
      <w:r>
        <w:t xml:space="preserve">VAT (20%):</w:t>
      </w:r>
      <w:r>
        <w:t xml:space="preserve"> </w:t>
      </w:r>
      <w:r>
        <w:t xml:space="preserve">117,000.00 RUB</w:t>
      </w:r>
    </w:p>
    <w:p>
      <w:pPr>
        <w:pStyle w:val="BodyText"/>
      </w:pPr>
      <w:r>
        <w:t xml:space="preserve">Total Amount Due:</w:t>
      </w:r>
      <w:r>
        <w:t xml:space="preserve"> </w:t>
      </w:r>
      <w:r>
        <w:t xml:space="preserve">702,000.00 RUB</w:t>
      </w:r>
    </w:p>
    <w:bookmarkStart w:id="23"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from the date of this Invoice. Late payments may incur a penalty interest rate of 0.1% per day as per the Civil Code of the Russian Federation.</w:t>
      </w:r>
    </w:p>
    <w:p>
      <w:pPr>
        <w:pStyle w:val="BodyText"/>
      </w:pPr>
      <w:r>
        <w:rPr>
          <w:bCs/>
          <w:b/>
        </w:rPr>
        <w:t xml:space="preserve">2. Currency:</w:t>
      </w:r>
      <w:r>
        <w:t xml:space="preserve"> </w:t>
      </w:r>
      <w:r>
        <w:t xml:space="preserve">All amounts are quoted in Russian Rubles (RUB). Payments must be made in RUB to the bank account specified below.</w:t>
      </w:r>
    </w:p>
    <w:p>
      <w:pPr>
        <w:pStyle w:val="BodyText"/>
      </w:pPr>
      <w:r>
        <w:rPr>
          <w:bCs/>
          <w:b/>
        </w:rPr>
        <w:t xml:space="preserve">3. Scope Validity:</w:t>
      </w:r>
      <w:r>
        <w:t xml:space="preserve"> </w:t>
      </w:r>
      <w:r>
        <w:t xml:space="preserve">This Invoice covers only the services explicitly listed above. Any additional industrial engineering consulting, site visits, or analysis required beyond this scope will be billed separately via a supplementary invoice.</w:t>
      </w:r>
    </w:p>
    <w:p>
      <w:pPr>
        <w:pStyle w:val="BodyText"/>
      </w:pPr>
      <w:r>
        <w:rPr>
          <w:bCs/>
          <w:b/>
        </w:rPr>
        <w:t xml:space="preserve">4. Confidentiality:</w:t>
      </w:r>
      <w:r>
        <w:t xml:space="preserve"> </w:t>
      </w:r>
      <w:r>
        <w:t xml:space="preserve">All data, process maps, and operational insights shared during this engagement in Saint Petersburg are considered confidential and are protected under the Non-Disclosure Agreement (NDA) signed on September 15, 2023.</w:t>
      </w:r>
    </w:p>
    <w:p>
      <w:pPr>
        <w:pStyle w:val="BodyText"/>
      </w:pPr>
      <w:r>
        <w:rPr>
          <w:bCs/>
          <w:b/>
        </w:rPr>
        <w:t xml:space="preserve">5. Dispute Resolution:</w:t>
      </w:r>
      <w:r>
        <w:t xml:space="preserve"> </w:t>
      </w:r>
      <w:r>
        <w:t xml:space="preserve">Any disputes arising from this Invoice or the services rendered shall be resolved through arbitration in Saint Petersburg, Russia, in accordance with the rules of the International Commercial Arbitration Court.</w:t>
      </w:r>
    </w:p>
    <w:p>
      <w:pPr>
        <w:pStyle w:val="BodyText"/>
      </w:pPr>
      <w:r>
        <w:rPr>
          <w:bCs/>
          <w:b/>
        </w:rPr>
        <w:t xml:space="preserve">Bank Transfer Details:</w:t>
      </w:r>
    </w:p>
    <w:p>
      <w:pPr>
        <w:pStyle w:val="BodyText"/>
      </w:pPr>
      <w:r>
        <w:t xml:space="preserve">Beneficiary: OptiFlow Engineering Solutions LLC</w:t>
      </w:r>
    </w:p>
    <w:p>
      <w:pPr>
        <w:pStyle w:val="BodyText"/>
      </w:pPr>
      <w:r>
        <w:t xml:space="preserve">Bank Name: Sberbank of Russia, Saint Petersburg Branch</w:t>
      </w:r>
    </w:p>
    <w:p>
      <w:pPr>
        <w:pStyle w:val="BodyText"/>
      </w:pPr>
      <w:r>
        <w:t xml:space="preserve">Account Number: 40702810938000123456</w:t>
      </w:r>
    </w:p>
    <w:p>
      <w:pPr>
        <w:pStyle w:val="BodyText"/>
      </w:pPr>
      <w:r>
        <w:t xml:space="preserve">BIC/SWIFT: SABRRUMMSPB</w:t>
      </w:r>
    </w:p>
    <w:p>
      <w:pPr>
        <w:pStyle w:val="BodyText"/>
      </w:pPr>
      <w:r>
        <w:t xml:space="preserve">Correspondent Account: 30101810500000000225</w:t>
      </w:r>
    </w:p>
    <w:p>
      <w:pPr>
        <w:pStyle w:val="BodyText"/>
      </w:pPr>
      <w:r>
        <w:t xml:space="preserve">Reference: INV-RU-SPB-2023-089</w:t>
      </w:r>
    </w:p>
    <w:bookmarkEnd w:id="23"/>
    <w:p>
      <w:pPr>
        <w:pStyle w:val="BodyText"/>
      </w:pPr>
      <w:r>
        <w:rPr>
          <w:bCs/>
          <w:b/>
        </w:rPr>
        <w:t xml:space="preserve">Authorized by:</w:t>
      </w:r>
    </w:p>
    <w:p>
      <w:pPr>
        <w:pStyle w:val="BodyText"/>
      </w:pPr>
      <w:r>
        <w:t xml:space="preserve">Dr. Elena Volkova</w:t>
      </w:r>
    </w:p>
    <w:p>
      <w:pPr>
        <w:pStyle w:val="BodyText"/>
      </w:pPr>
      <w:r>
        <w:t xml:space="preserve">Lead Industrial Engineer</w:t>
      </w:r>
    </w:p>
    <w:p>
      <w:pPr>
        <w:pStyle w:val="BodyText"/>
      </w:pPr>
      <w:r>
        <w:t xml:space="preserve">OptiFlow Engineering Solutions</w:t>
      </w:r>
    </w:p>
    <w:p>
      <w:pPr>
        <w:pStyle w:val="BodyText"/>
      </w:pPr>
      <w:r>
        <w:t xml:space="preserve">Signature &amp; Date</w:t>
      </w:r>
    </w:p>
    <w:p>
      <w:pPr>
        <w:pStyle w:val="BodyText"/>
      </w:pPr>
      <w:r>
        <w:t xml:space="preserve">Thank you for your business. We appreciate the opportunity to contribute to industrial excellence in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