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
    <w:p>
      <w:pPr>
        <w:pStyle w:val="Heading1"/>
      </w:pPr>
      <w:r>
        <w:t xml:space="preserve">Apex Industrial Solutions</w:t>
      </w:r>
    </w:p>
    <w:p>
      <w:pPr>
        <w:pStyle w:val="FirstParagraph"/>
      </w:pPr>
      <w:r>
        <w:t xml:space="preserve">123 Market Street, Suite 400</w:t>
      </w:r>
    </w:p>
    <w:p>
      <w:pPr>
        <w:pStyle w:val="BodyText"/>
      </w:pPr>
      <w:r>
        <w:t xml:space="preserve">San Francisco, CA 94105</w:t>
      </w:r>
    </w:p>
    <w:p>
      <w:pPr>
        <w:pStyle w:val="BodyText"/>
      </w:pPr>
      <w:r>
        <w:t xml:space="preserve">United States</w:t>
      </w:r>
    </w:p>
    <w:p>
      <w:pPr>
        <w:pStyle w:val="BodyText"/>
      </w:pPr>
      <w:r>
        <w:t xml:space="preserve">Phone: (415) 555-0199</w:t>
      </w:r>
    </w:p>
    <w:p>
      <w:pPr>
        <w:pStyle w:val="BodyText"/>
      </w:pPr>
      <w:r>
        <w:t xml:space="preserve">Email: billing@apexindustrial.com</w:t>
      </w:r>
    </w:p>
    <w:p>
      <w:pPr>
        <w:pStyle w:val="BodyText"/>
      </w:pPr>
      <w:r>
        <w:t xml:space="preserve">CA Seller's Permit: #050-1234567-88</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INV-2023-10-8842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Global Logistics &amp; Manufacturing Corp.</w:t>
      </w:r>
    </w:p>
    <w:p>
      <w:pPr>
        <w:pStyle w:val="BodyText"/>
      </w:pPr>
      <w:r>
        <w:t xml:space="preserve">Attn: Procurement Department</w:t>
      </w:r>
    </w:p>
    <w:p>
      <w:pPr>
        <w:pStyle w:val="BodyText"/>
      </w:pPr>
      <w:r>
        <w:t xml:space="preserve">450 Mission Street, Floor 12</w:t>
      </w:r>
    </w:p>
    <w:p>
      <w:pPr>
        <w:pStyle w:val="BodyText"/>
      </w:pPr>
      <w:r>
        <w:t xml:space="preserve">San Francisco, CA 94105</w:t>
      </w:r>
    </w:p>
    <w:p>
      <w:pPr>
        <w:pStyle w:val="BodyText"/>
      </w:pPr>
      <w:r>
        <w:t xml:space="preserve">United States</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Supply Chain Optimization &amp; Lean Manufacturing Implementation</w:t>
      </w:r>
    </w:p>
    <w:p>
      <w:pPr>
        <w:pStyle w:val="BodyText"/>
      </w:pPr>
      <w:r>
        <w:rPr>
          <w:bCs/>
          <w:b/>
        </w:rPr>
        <w:t xml:space="preserve">Location:</w:t>
      </w:r>
      <w:r>
        <w:t xml:space="preserve"> </w:t>
      </w:r>
      <w:r>
        <w:t xml:space="preserve">San Francisco Distribution Center</w:t>
      </w:r>
    </w:p>
    <w:p>
      <w:pPr>
        <w:pStyle w:val="BodyText"/>
      </w:pPr>
      <w:r>
        <w:rPr>
          <w:bCs/>
          <w:b/>
        </w:rPr>
        <w:t xml:space="preserve">Scope:</w:t>
      </w:r>
      <w:r>
        <w:t xml:space="preserve"> </w:t>
      </w:r>
      <w:r>
        <w:t xml:space="preserve">Comprehensive analysis and restructuring of industrial workflows by certified Industrial Engineer.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Process Mapping &amp; Time Study Analysis</w:t>
            </w:r>
            <w:r>
              <w:br/>
            </w:r>
            <w:r>
              <w:t xml:space="preserve">Detailed observation and documentation of current manufacturing workflows at the San Francisco facility. Utilization of stopwatch time studies and work sampling techniques to identify bottlenecks and non-value-added activities.</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Lean Manufacturing Implementation Strategy</w:t>
            </w:r>
            <w:r>
              <w:br/>
            </w:r>
            <w:r>
              <w:t xml:space="preserve">Development of a comprehensive Lean roadmap tailored to the client's operations. Includes 5S workplace organization planning, Kaizen event facilitation, and waste reduction strategies specific to the industrial environment.</w:t>
            </w:r>
          </w:p>
        </w:tc>
        <w:tc>
          <w:tcPr/>
          <w:p>
            <w:pPr>
              <w:pStyle w:val="Compact"/>
              <w:jc w:val="left"/>
            </w:pPr>
            <w:r>
              <w:t xml:space="preserve">25.0</w:t>
            </w:r>
          </w:p>
        </w:tc>
        <w:tc>
          <w:tcPr/>
          <w:p>
            <w:pPr>
              <w:pStyle w:val="Compact"/>
              <w:jc w:val="left"/>
            </w:pPr>
            <w:r>
              <w:t xml:space="preserve">$175.00</w:t>
            </w:r>
          </w:p>
        </w:tc>
        <w:tc>
          <w:tcPr/>
          <w:p>
            <w:pPr>
              <w:pStyle w:val="Compact"/>
              <w:jc w:val="left"/>
            </w:pPr>
            <w:r>
              <w:t xml:space="preserve">$4,375.00</w:t>
            </w:r>
          </w:p>
        </w:tc>
      </w:tr>
      <w:tr>
        <w:tc>
          <w:tcPr/>
          <w:p>
            <w:pPr>
              <w:pStyle w:val="Compact"/>
              <w:jc w:val="left"/>
            </w:pPr>
            <w:r>
              <w:t xml:space="preserve">3</w:t>
            </w:r>
          </w:p>
        </w:tc>
        <w:tc>
          <w:tcPr/>
          <w:p>
            <w:pPr>
              <w:pStyle w:val="Compact"/>
              <w:jc w:val="left"/>
            </w:pPr>
            <w:r>
              <w:rPr>
                <w:bCs/>
                <w:b/>
              </w:rPr>
              <w:t xml:space="preserve">Facility Layout Optimization</w:t>
            </w:r>
            <w:r>
              <w:br/>
            </w:r>
            <w:r>
              <w:t xml:space="preserve">Redesign of the warehouse and production floor layout to minimize material handling costs and improve throughput. Includes CAD drawings and simulation modeling to validate efficiency gains before physical implementation.</w:t>
            </w:r>
          </w:p>
        </w:tc>
        <w:tc>
          <w:tcPr/>
          <w:p>
            <w:pPr>
              <w:pStyle w:val="Compact"/>
              <w:jc w:val="left"/>
            </w:pPr>
            <w:r>
              <w:t xml:space="preserve">30.0</w:t>
            </w:r>
          </w:p>
        </w:tc>
        <w:tc>
          <w:tcPr/>
          <w:p>
            <w:pPr>
              <w:pStyle w:val="Compact"/>
              <w:jc w:val="left"/>
            </w:pPr>
            <w:r>
              <w:t xml:space="preserve">$175.00</w:t>
            </w:r>
          </w:p>
        </w:tc>
        <w:tc>
          <w:tcPr/>
          <w:p>
            <w:pPr>
              <w:pStyle w:val="Compact"/>
              <w:jc w:val="left"/>
            </w:pPr>
            <w:r>
              <w:t xml:space="preserve">$5,250.00</w:t>
            </w:r>
          </w:p>
        </w:tc>
      </w:tr>
      <w:tr>
        <w:tc>
          <w:tcPr/>
          <w:p>
            <w:pPr>
              <w:pStyle w:val="Compact"/>
              <w:jc w:val="left"/>
            </w:pPr>
            <w:r>
              <w:t xml:space="preserve">4</w:t>
            </w:r>
          </w:p>
        </w:tc>
        <w:tc>
          <w:tcPr/>
          <w:p>
            <w:pPr>
              <w:pStyle w:val="Compact"/>
              <w:jc w:val="left"/>
            </w:pPr>
            <w:r>
              <w:rPr>
                <w:bCs/>
                <w:b/>
              </w:rPr>
              <w:t xml:space="preserve">Quality Control System Design</w:t>
            </w:r>
            <w:r>
              <w:br/>
            </w:r>
            <w:r>
              <w:t xml:space="preserve">Implementation of Statistical Process Control (SPC) charts and quality assurance protocols. Training provided to floor managers on defect reduction methodologies and continuous improvement cycles.</w:t>
            </w:r>
          </w:p>
        </w:tc>
        <w:tc>
          <w:tcPr/>
          <w:p>
            <w:pPr>
              <w:pStyle w:val="Compact"/>
              <w:jc w:val="left"/>
            </w:pPr>
            <w:r>
              <w:t xml:space="preserve">15.0</w:t>
            </w:r>
          </w:p>
        </w:tc>
        <w:tc>
          <w:tcPr/>
          <w:p>
            <w:pPr>
              <w:pStyle w:val="Compact"/>
              <w:jc w:val="left"/>
            </w:pPr>
            <w:r>
              <w:t xml:space="preserve">$175.00</w:t>
            </w:r>
          </w:p>
        </w:tc>
        <w:tc>
          <w:tcPr/>
          <w:p>
            <w:pPr>
              <w:pStyle w:val="Compact"/>
              <w:jc w:val="left"/>
            </w:pPr>
            <w:r>
              <w:t xml:space="preserve">$2,625.00</w:t>
            </w:r>
          </w:p>
        </w:tc>
      </w:tr>
      <w:tr>
        <w:tc>
          <w:tcPr/>
          <w:p>
            <w:pPr>
              <w:pStyle w:val="Compact"/>
              <w:jc w:val="left"/>
            </w:pPr>
            <w:r>
              <w:t xml:space="preserve">5</w:t>
            </w:r>
          </w:p>
        </w:tc>
        <w:tc>
          <w:tcPr/>
          <w:p>
            <w:pPr>
              <w:pStyle w:val="Compact"/>
              <w:jc w:val="left"/>
            </w:pPr>
            <w:r>
              <w:rPr>
                <w:bCs/>
                <w:b/>
              </w:rPr>
              <w:t xml:space="preserve">Final Engineering Report &amp; Executive Presentation</w:t>
            </w:r>
            <w:r>
              <w:br/>
            </w:r>
            <w:r>
              <w:t xml:space="preserve">Compilation of all findings, recommendations, and projected ROI into a formal engineering report. Presentation of results to executive leadership in San Francisco.</w:t>
            </w:r>
          </w:p>
        </w:tc>
        <w:tc>
          <w:tcPr/>
          <w:p>
            <w:pPr>
              <w:pStyle w:val="Compact"/>
              <w:jc w:val="left"/>
            </w:pPr>
            <w:r>
              <w:t xml:space="preserve">10.0</w:t>
            </w:r>
          </w:p>
        </w:tc>
        <w:tc>
          <w:tcPr/>
          <w:p>
            <w:pPr>
              <w:pStyle w:val="Compact"/>
              <w:jc w:val="left"/>
            </w:pPr>
            <w:r>
              <w:t xml:space="preserve">$175.00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$21,000.00</w:t>
            </w:r>
          </w:p>
        </w:tc>
      </w:tr>
      <w:tr>
        <w:tc>
          <w:tcPr/>
          <w:p>
            <w:pPr>
              <w:pStyle w:val="Compact"/>
              <w:jc w:val="left"/>
            </w:pPr>
            <w:r>
              <w:t xml:space="preserve">CA Sales Tax (8.75%):</w:t>
            </w:r>
          </w:p>
        </w:tc>
        <w:tc>
          <w:tcPr/>
          <w:p>
            <w:pPr>
              <w:pStyle w:val="Compact"/>
              <w:jc w:val="left"/>
            </w:pPr>
            <w:r>
              <w:t xml:space="preserve">$1,837.50</w:t>
            </w:r>
          </w:p>
        </w:tc>
      </w:tr>
      <w:tr>
        <w:tc>
          <w:tcPr/>
          <w:p>
            <w:pPr>
              <w:pStyle w:val="Compact"/>
              <w:jc w:val="left"/>
            </w:pPr>
            <w:r>
              <w:rPr>
                <w:bCs/>
                <w:b/>
              </w:rPr>
              <w:t xml:space="preserve">Total Due:</w:t>
            </w:r>
          </w:p>
        </w:tc>
        <w:tc>
          <w:tcPr/>
          <w:p>
            <w:pPr>
              <w:pStyle w:val="Compact"/>
              <w:jc w:val="left"/>
            </w:pPr>
            <w:r>
              <w:rPr>
                <w:bCs/>
                <w:b/>
              </w:rPr>
              <w:t xml:space="preserve">$22,837.50</w:t>
            </w:r>
          </w:p>
        </w:tc>
      </w:tr>
    </w:tbl>
    <w:bookmarkStart w:id="24" w:name="payment-instructions-notes"/>
    <w:p>
      <w:pPr>
        <w:pStyle w:val="Heading4"/>
      </w:pPr>
      <w:r>
        <w:t xml:space="preserve">Payment Instructions &amp; Notes</w:t>
      </w:r>
    </w:p>
    <w:p>
      <w:pPr>
        <w:pStyle w:val="FirstParagraph"/>
      </w:pPr>
      <w:r>
        <w:rPr>
          <w:bCs/>
          <w:b/>
        </w:rPr>
        <w:t xml:space="preserve">Bank Transfer (ACH/Wire):</w:t>
      </w:r>
    </w:p>
    <w:p>
      <w:pPr>
        <w:pStyle w:val="BodyText"/>
      </w:pPr>
      <w:r>
        <w:t xml:space="preserve">Bank Name: Silicon Valley Bank</w:t>
      </w:r>
    </w:p>
    <w:p>
      <w:pPr>
        <w:pStyle w:val="BodyText"/>
      </w:pPr>
      <w:r>
        <w:t xml:space="preserve">Account Name: Apex Industrial Solutions LLC</w:t>
      </w:r>
    </w:p>
    <w:p>
      <w:pPr>
        <w:pStyle w:val="BodyText"/>
      </w:pPr>
      <w:r>
        <w:t xml:space="preserve">Routing Number: 121000248</w:t>
      </w:r>
    </w:p>
    <w:p>
      <w:pPr>
        <w:pStyle w:val="BodyText"/>
      </w:pPr>
      <w:r>
        <w:t xml:space="preserve">Account Number: 9876543210</w:t>
      </w:r>
    </w:p>
    <w:p>
      <w:pPr>
        <w:pStyle w:val="BodyText"/>
      </w:pPr>
      <w:r>
        <w:rPr>
          <w:bCs/>
          <w:b/>
        </w:rPr>
        <w:t xml:space="preserve">Check Payments:</w:t>
      </w:r>
      <w:r>
        <w:t xml:space="preserve"> </w:t>
      </w:r>
      <w:r>
        <w:t xml:space="preserve">Please make checks payable to "Apex Industrial Solutions" and mail to the address listed in the header.</w:t>
      </w:r>
    </w:p>
    <w:p>
      <w:pPr>
        <w:pStyle w:val="BodyText"/>
      </w:pPr>
      <w:r>
        <w:br/>
      </w:r>
    </w:p>
    <w:p>
      <w:pPr>
        <w:pStyle w:val="BodyText"/>
      </w:pPr>
      <w:r>
        <w:rPr>
          <w:bCs/>
          <w:b/>
        </w:rPr>
        <w:t xml:space="preserve">Service Disclaimer:</w:t>
      </w:r>
      <w:r>
        <w:t xml:space="preserve"> </w:t>
      </w:r>
      <w:r>
        <w:t xml:space="preserve">The services rendered by our Industrial Engineer are based on the data and site conditions provided by the client at the time of the engagement. While we strive for maximum accuracy in our efficiency calculations and layout designs, actual results may vary based on implementation fidelity and external market factors.</w:t>
      </w:r>
    </w:p>
    <w:p>
      <w:pPr>
        <w:pStyle w:val="BodyText"/>
      </w:pPr>
      <w:r>
        <w:rPr>
          <w:bCs/>
          <w:b/>
        </w:rPr>
        <w:t xml:space="preserve">Late Fees:</w:t>
      </w:r>
      <w:r>
        <w:t xml:space="preserve"> </w:t>
      </w:r>
      <w:r>
        <w:t xml:space="preserve">A late fee of 1.5% per month will be applied to any balance remaining unpaid after the due date, in accordance with California commercial code.</w:t>
      </w:r>
    </w:p>
    <w:bookmarkEnd w:id="24"/>
    <w:p>
      <w:pPr>
        <w:pStyle w:val="BodyText"/>
      </w:pPr>
      <w:r>
        <w:t xml:space="preserve">Thank you for your business. We appreciate the opportunity to optimize your industrial operations in San Francisco.</w:t>
      </w:r>
    </w:p>
    <w:p>
      <w:pPr>
        <w:pStyle w:val="BodyText"/>
      </w:pPr>
      <w:r>
        <w:t xml:space="preserve">Apex Industrial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2026-10-10T02:43:27Z</dcterms:created>
  <dcterms:modified xsi:type="dcterms:W3CDTF">2026-10-10T02:43:27Z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