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Egypt</w:t>
      </w:r>
      <w:r>
        <w:t xml:space="preserve"> </w:t>
      </w:r>
      <w:r>
        <w:t xml:space="preserve">Alexandria</w:t>
      </w:r>
    </w:p>
    <w:p>
      <w:pPr>
        <w:pStyle w:val="FirstParagraph"/>
      </w:pPr>
      <w:r>
        <w:t xml:space="preserve">INVOICE</w:t>
      </w:r>
    </w:p>
    <w:p>
      <w:pPr>
        <w:pStyle w:val="BodyText"/>
      </w:pPr>
      <w:r>
        <w:t xml:space="preserve">Journalist Professional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INV-ALX-2025-0047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Egyptian Pound (EGP)</w:t>
      </w:r>
    </w:p>
    <w:bookmarkEnd w:id="20"/>
    <w:bookmarkStart w:id="21" w:name="from-service-provider"/>
    <w:p>
      <w:pPr>
        <w:pStyle w:val="Heading4"/>
      </w:pPr>
      <w:r>
        <w:t xml:space="preserve">From (Service Provider)</w:t>
      </w:r>
    </w:p>
    <w:p>
      <w:pPr>
        <w:pStyle w:val="FirstParagraph"/>
      </w:pPr>
      <w:r>
        <w:rPr>
          <w:bCs/>
          <w:b/>
        </w:rPr>
        <w:t xml:space="preserve">Name:</w:t>
      </w:r>
      <w:r>
        <w:t xml:space="preserve"> </w:t>
      </w:r>
      <w:r>
        <w:t xml:space="preserve">Ahmed Mahmoud El-Sayed</w:t>
      </w:r>
    </w:p>
    <w:p>
      <w:pPr>
        <w:pStyle w:val="BodyText"/>
      </w:pPr>
      <w:r>
        <w:rPr>
          <w:bCs/>
          <w:b/>
        </w:rPr>
        <w:t xml:space="preserve">Profession:</w:t>
      </w:r>
      <w:r>
        <w:t xml:space="preserve"> </w:t>
      </w:r>
      <w:r>
        <w:t xml:space="preserve">Freelance Journalist &amp; Investigative Reporter</w:t>
      </w:r>
    </w:p>
    <w:p>
      <w:pPr>
        <w:pStyle w:val="BodyText"/>
      </w:pPr>
      <w:r>
        <w:rPr>
          <w:bCs/>
          <w:b/>
        </w:rPr>
        <w:t xml:space="preserve">Address:</w:t>
      </w:r>
      <w:r>
        <w:t xml:space="preserve"> </w:t>
      </w:r>
      <w:r>
        <w:t xml:space="preserve">42 Corniche El-Nil Street, El-Montaza District, Egypt Alexandria, 21543</w:t>
      </w:r>
    </w:p>
    <w:p>
      <w:pPr>
        <w:pStyle w:val="BodyText"/>
      </w:pPr>
      <w:r>
        <w:rPr>
          <w:bCs/>
          <w:b/>
        </w:rPr>
        <w:t xml:space="preserve">Phone:</w:t>
      </w:r>
      <w:r>
        <w:t xml:space="preserve"> </w:t>
      </w:r>
      <w:r>
        <w:t xml:space="preserve">+20 3 482 5567</w:t>
      </w:r>
    </w:p>
    <w:p>
      <w:pPr>
        <w:pStyle w:val="BodyText"/>
      </w:pPr>
      <w:r>
        <w:rPr>
          <w:bCs/>
          <w:b/>
        </w:rPr>
        <w:t xml:space="preserve">Email:</w:t>
      </w:r>
      <w:r>
        <w:t xml:space="preserve"> </w:t>
      </w:r>
      <w:r>
        <w:t xml:space="preserve">a.el-sayed.journalist@alexmedia.eg</w:t>
      </w:r>
    </w:p>
    <w:p>
      <w:pPr>
        <w:pStyle w:val="BodyText"/>
      </w:pPr>
      <w:r>
        <w:rPr>
          <w:bCs/>
          <w:b/>
        </w:rPr>
        <w:t xml:space="preserve">Tax Registration No:</w:t>
      </w:r>
      <w:r>
        <w:t xml:space="preserve"> </w:t>
      </w:r>
      <w:r>
        <w:t xml:space="preserve">TR-ALX-2024-88341</w:t>
      </w:r>
    </w:p>
    <w:p>
      <w:pPr>
        <w:pStyle w:val="BodyText"/>
      </w:pPr>
      <w:r>
        <w:rPr>
          <w:bCs/>
          <w:b/>
        </w:rPr>
        <w:t xml:space="preserve">Press Card No:</w:t>
      </w:r>
      <w:r>
        <w:t xml:space="preserve"> </w:t>
      </w:r>
      <w:r>
        <w:t xml:space="preserve">PC-EGY-2023-11207</w:t>
      </w:r>
    </w:p>
    <w:bookmarkEnd w:id="21"/>
    <w:bookmarkStart w:id="22" w:name="bill-to-client"/>
    <w:p>
      <w:pPr>
        <w:pStyle w:val="Heading4"/>
      </w:pPr>
      <w:r>
        <w:t xml:space="preserve">Bill To (Client)</w:t>
      </w:r>
    </w:p>
    <w:p>
      <w:pPr>
        <w:pStyle w:val="FirstParagraph"/>
      </w:pPr>
      <w:r>
        <w:rPr>
          <w:bCs/>
          <w:b/>
        </w:rPr>
        <w:t xml:space="preserve">Company:</w:t>
      </w:r>
      <w:r>
        <w:t xml:space="preserve"> </w:t>
      </w:r>
      <w:r>
        <w:t xml:space="preserve">Alexandria Media Group Ltd.</w:t>
      </w:r>
    </w:p>
    <w:p>
      <w:pPr>
        <w:pStyle w:val="BodyText"/>
      </w:pPr>
      <w:r>
        <w:rPr>
          <w:bCs/>
          <w:b/>
        </w:rPr>
        <w:t xml:space="preserve">Attention:</w:t>
      </w:r>
      <w:r>
        <w:t xml:space="preserve"> </w:t>
      </w:r>
      <w:r>
        <w:t xml:space="preserve">Ms. Layla Hassan, Editor-in-Chief</w:t>
      </w:r>
    </w:p>
    <w:p>
      <w:pPr>
        <w:pStyle w:val="BodyText"/>
      </w:pPr>
      <w:r>
        <w:rPr>
          <w:bCs/>
          <w:b/>
        </w:rPr>
        <w:t xml:space="preserve">Address:</w:t>
      </w:r>
      <w:r>
        <w:t xml:space="preserve"> </w:t>
      </w:r>
      <w:r>
        <w:t xml:space="preserve">18 El-Gabash Street, El-Asbakeen, Egypt Alexandria, 21411</w:t>
      </w:r>
    </w:p>
    <w:p>
      <w:pPr>
        <w:pStyle w:val="BodyText"/>
      </w:pPr>
      <w:r>
        <w:rPr>
          <w:bCs/>
          <w:b/>
        </w:rPr>
        <w:t xml:space="preserve">Phone:</w:t>
      </w:r>
      <w:r>
        <w:t xml:space="preserve"> </w:t>
      </w:r>
      <w:r>
        <w:t xml:space="preserve">+20 3 579 2201</w:t>
      </w:r>
    </w:p>
    <w:p>
      <w:pPr>
        <w:pStyle w:val="BodyText"/>
      </w:pPr>
      <w:r>
        <w:rPr>
          <w:bCs/>
          <w:b/>
        </w:rPr>
        <w:t xml:space="preserve">Email:</w:t>
      </w:r>
      <w:r>
        <w:t xml:space="preserve"> </w:t>
      </w:r>
      <w:r>
        <w:t xml:space="preserve">procurement@alexmediagroup.eg</w:t>
      </w:r>
    </w:p>
    <w:p>
      <w:pPr>
        <w:pStyle w:val="BodyText"/>
      </w:pPr>
      <w:r>
        <w:rPr>
          <w:bCs/>
          <w:b/>
        </w:rPr>
        <w:t xml:space="preserve">Commercial Reg. No:</w:t>
      </w:r>
      <w:r>
        <w:t xml:space="preserve"> </w:t>
      </w:r>
      <w:r>
        <w:t xml:space="preserve">CR-ALX-2019-44562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Investigative journalism report on port infrastructure development in Egypt Alexandria. Includes on-site reporting, interviews with municipal officials, and a 4,500-word feature article for the monthly publication.</w:t>
            </w:r>
          </w:p>
        </w:tc>
        <w:tc>
          <w:tcPr/>
          <w:p>
            <w:pPr>
              <w:pStyle w:val="Compact"/>
              <w:jc w:val="left"/>
            </w:pPr>
            <w:r>
              <w:t xml:space="preserve">02 Jun 2025</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Photojournalism coverage of the Alexandria International Film Festival. The Journalist provided 120 edited high-resolution images with accompanying captions for the festival's official press release and social media channels.</w:t>
            </w:r>
          </w:p>
        </w:tc>
        <w:tc>
          <w:tcPr/>
          <w:p>
            <w:pPr>
              <w:pStyle w:val="Compact"/>
              <w:jc w:val="left"/>
            </w:pPr>
            <w:r>
              <w:t xml:space="preserve">05 Jun 2025</w:t>
            </w:r>
          </w:p>
        </w:tc>
        <w:tc>
          <w:tcPr/>
          <w:p>
            <w:pPr>
              <w:pStyle w:val="Compact"/>
              <w:jc w:val="left"/>
            </w:pPr>
            <w:r>
              <w:t xml:space="preserve">1 assignment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Editorial consultation and fact-checking services for a 15-page special edition on coastal environmental issues in Egypt Alexandria. The Journalist reviewed all source documents, verified statistical data, and provided 34 annotated corrections.</w:t>
            </w:r>
          </w:p>
        </w:tc>
        <w:tc>
          <w:tcPr/>
          <w:p>
            <w:pPr>
              <w:pStyle w:val="Compact"/>
              <w:jc w:val="left"/>
            </w:pPr>
            <w:r>
              <w:t xml:space="preserve">08 Jun 2025</w:t>
            </w:r>
          </w:p>
        </w:tc>
        <w:tc>
          <w:tcPr/>
          <w:p>
            <w:pPr>
              <w:pStyle w:val="Compact"/>
              <w:jc w:val="left"/>
            </w:pPr>
            <w:r>
              <w:t xml:space="preserve">15 pages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4</w:t>
            </w:r>
          </w:p>
        </w:tc>
        <w:tc>
          <w:tcPr/>
          <w:p>
            <w:pPr>
              <w:pStyle w:val="Compact"/>
              <w:jc w:val="left"/>
            </w:pPr>
            <w:r>
              <w:t xml:space="preserve">Live broadcast commentary and post-event written summary for the Alexandria Economic Forum. The Journalist delivered a 20-minute live segment and a 1,200-word follow-up analysis published within 24 hours.</w:t>
            </w:r>
          </w:p>
        </w:tc>
        <w:tc>
          <w:tcPr/>
          <w:p>
            <w:pPr>
              <w:pStyle w:val="Compact"/>
              <w:jc w:val="left"/>
            </w:pPr>
            <w:r>
              <w:t xml:space="preserve">10 Jun 2025</w:t>
            </w:r>
          </w:p>
        </w:tc>
        <w:tc>
          <w:tcPr/>
          <w:p>
            <w:pPr>
              <w:pStyle w:val="Compact"/>
              <w:jc w:val="left"/>
            </w:pPr>
            <w:r>
              <w:t xml:space="preserve">1 event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5</w:t>
            </w:r>
          </w:p>
        </w:tc>
        <w:tc>
          <w:tcPr/>
          <w:p>
            <w:pPr>
              <w:pStyle w:val="Compact"/>
              <w:jc w:val="left"/>
            </w:pPr>
            <w:r>
              <w:t xml:space="preserve">Translation and localization of a 3,000-word international press release from English to Modern Standard Arabic, tailored for the Egypt Alexandria readership. Includes cultural context notes and terminology alignment with local media standards.</w:t>
            </w:r>
          </w:p>
        </w:tc>
        <w:tc>
          <w:tcPr/>
          <w:p>
            <w:pPr>
              <w:pStyle w:val="Compact"/>
              <w:jc w:val="left"/>
            </w:pPr>
            <w:r>
              <w:t xml:space="preserve">12 Jun 2025</w:t>
            </w:r>
          </w:p>
        </w:tc>
        <w:tc>
          <w:tcPr/>
          <w:p>
            <w:pPr>
              <w:pStyle w:val="Compact"/>
              <w:jc w:val="left"/>
            </w:pPr>
            <w:r>
              <w:t xml:space="preserve">1 article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Travel and field expenses incurred during reporting assignments in the Egypt Alexandria governorate, including transportation to El-Montaza, El-Dahar, and El-Deir districts. Receipts attached as Appendix A to this Invoice.</w:t>
            </w:r>
          </w:p>
        </w:tc>
        <w:tc>
          <w:tcPr/>
          <w:p>
            <w:pPr>
              <w:pStyle w:val="Compact"/>
              <w:jc w:val="left"/>
            </w:pPr>
            <w:r>
              <w:t xml:space="preserve">02–12 Jun 2025</w:t>
            </w:r>
          </w:p>
        </w:tc>
        <w:tc>
          <w:tcPr/>
          <w:p>
            <w:pPr>
              <w:pStyle w:val="Compact"/>
              <w:jc w:val="left"/>
            </w:pPr>
            <w:r>
              <w:t xml:space="preserve">11 days</w:t>
            </w:r>
          </w:p>
        </w:tc>
        <w:tc>
          <w:tcPr/>
          <w:p>
            <w:pPr>
              <w:pStyle w:val="Compact"/>
              <w:jc w:val="left"/>
            </w:pPr>
            <w:r>
              <w:t xml:space="preserve">350.00</w:t>
            </w:r>
          </w:p>
        </w:tc>
        <w:tc>
          <w:tcPr/>
          <w:p>
            <w:pPr>
              <w:pStyle w:val="Compact"/>
              <w:jc w:val="left"/>
            </w:pPr>
            <w:r>
              <w:t xml:space="preserve">3,850.00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46,650.00 EGP</w:t>
            </w:r>
          </w:p>
        </w:tc>
      </w:tr>
      <w:tr>
        <w:tc>
          <w:tcPr/>
          <w:p>
            <w:pPr>
              <w:pStyle w:val="Compact"/>
              <w:jc w:val="left"/>
            </w:pPr>
            <w:r>
              <w:t xml:space="preserve">VAT (14% – Egyptian Tax Authority)</w:t>
            </w:r>
          </w:p>
        </w:tc>
        <w:tc>
          <w:tcPr/>
          <w:p>
            <w:pPr>
              <w:pStyle w:val="Compact"/>
              <w:jc w:val="right"/>
            </w:pPr>
            <w:r>
              <w:t xml:space="preserve">6,531.00 EGP</w:t>
            </w:r>
          </w:p>
        </w:tc>
      </w:tr>
      <w:tr>
        <w:tc>
          <w:tcPr/>
          <w:p>
            <w:pPr>
              <w:pStyle w:val="Compact"/>
              <w:jc w:val="left"/>
            </w:pPr>
            <w:r>
              <w:t xml:space="preserve">Withholding Tax (10% – Journalist Professional Fee)</w:t>
            </w:r>
          </w:p>
        </w:tc>
        <w:tc>
          <w:tcPr/>
          <w:p>
            <w:pPr>
              <w:pStyle w:val="Compact"/>
              <w:jc w:val="right"/>
            </w:pPr>
            <w:r>
              <w:t xml:space="preserve">(4,665.00) EGP</w:t>
            </w:r>
          </w:p>
        </w:tc>
      </w:tr>
      <w:tr>
        <w:tc>
          <w:tcPr/>
          <w:p>
            <w:pPr>
              <w:pStyle w:val="Compact"/>
              <w:jc w:val="left"/>
            </w:pPr>
            <w:r>
              <w:t xml:space="preserve">Net Amount Due</w:t>
            </w:r>
          </w:p>
        </w:tc>
        <w:tc>
          <w:tcPr/>
          <w:p>
            <w:pPr>
              <w:pStyle w:val="Compact"/>
              <w:jc w:val="right"/>
            </w:pPr>
            <w:r>
              <w:t xml:space="preserve">48,516.00 EGP</w:t>
            </w:r>
          </w:p>
        </w:tc>
      </w:tr>
    </w:tbl>
    <w:bookmarkStart w:id="23" w:name="payment-terms-conditions"/>
    <w:p>
      <w:pPr>
        <w:pStyle w:val="Heading4"/>
      </w:pPr>
      <w:r>
        <w:t xml:space="preserve">Payment Terms &amp; Conditions</w:t>
      </w:r>
    </w:p>
    <w:p>
      <w:pPr>
        <w:pStyle w:val="FirstParagraph"/>
      </w:pPr>
      <w:r>
        <w:t xml:space="preserve">This Invoice is payable within fourteen (14) calendar days from the date of issue, no later than 30 June 2025. Payment shall be made via bank transfer to the account of the Journalist as listed below, or by certified cheque drawn on any commercial bank operating in Egypt Alexandria.</w:t>
      </w:r>
    </w:p>
    <w:p>
      <w:pPr>
        <w:pStyle w:val="BodyText"/>
      </w:pPr>
      <w:r>
        <w:rPr>
          <w:bCs/>
          <w:b/>
        </w:rPr>
        <w:t xml:space="preserve">Bank:</w:t>
      </w:r>
      <w:r>
        <w:t xml:space="preserve"> </w:t>
      </w:r>
      <w:r>
        <w:t xml:space="preserve">National Bank of Egypt, El-Montaza Branch, Egypt Alexandria</w:t>
      </w:r>
    </w:p>
    <w:p>
      <w:pPr>
        <w:pStyle w:val="BodyText"/>
      </w:pPr>
      <w:r>
        <w:rPr>
          <w:bCs/>
          <w:b/>
        </w:rPr>
        <w:t xml:space="preserve">Account Name:</w:t>
      </w:r>
      <w:r>
        <w:t xml:space="preserve"> </w:t>
      </w:r>
      <w:r>
        <w:t xml:space="preserve">Ahmed Mahmoud El-Sayed</w:t>
      </w:r>
    </w:p>
    <w:p>
      <w:pPr>
        <w:pStyle w:val="BodyText"/>
      </w:pPr>
      <w:r>
        <w:rPr>
          <w:bCs/>
          <w:b/>
        </w:rPr>
        <w:t xml:space="preserve">Account No:</w:t>
      </w:r>
      <w:r>
        <w:t xml:space="preserve"> </w:t>
      </w:r>
      <w:r>
        <w:t xml:space="preserve">1025-4488-7712-0034</w:t>
      </w:r>
    </w:p>
    <w:p>
      <w:pPr>
        <w:pStyle w:val="BodyText"/>
      </w:pPr>
      <w:r>
        <w:rPr>
          <w:bCs/>
          <w:b/>
        </w:rPr>
        <w:t xml:space="preserve">SWIFT Code:</w:t>
      </w:r>
      <w:r>
        <w:t xml:space="preserve"> </w:t>
      </w:r>
      <w:r>
        <w:t xml:space="preserve">NBEYEGCA</w:t>
      </w:r>
    </w:p>
    <w:p>
      <w:pPr>
        <w:pStyle w:val="BodyText"/>
      </w:pPr>
      <w:r>
        <w:t xml:space="preserve">Any payment received after the due date shall be subject to a late fee of 2% per month, in accordance with the Egyptian Commercial Code. The Journalist reserves the right to suspend ongoing services until full settlement of this Invoice is confirmed.</w:t>
      </w:r>
    </w:p>
    <w:bookmarkEnd w:id="23"/>
    <w:bookmarkStart w:id="24" w:name="notes-additional-information"/>
    <w:p>
      <w:pPr>
        <w:pStyle w:val="Heading4"/>
      </w:pPr>
      <w:r>
        <w:t xml:space="preserve">Notes &amp; Additional Information</w:t>
      </w:r>
    </w:p>
    <w:p>
      <w:pPr>
        <w:pStyle w:val="FirstParagraph"/>
      </w:pPr>
      <w:r>
        <w:t xml:space="preserve">1. All journalistic content delivered under this Invoice remains the intellectual property of the Journalist until full payment is received. Upon clearance of the Net Amount Due, exclusive publication rights for the specified media channels are transferred to Alexandria Media Group Ltd.</w:t>
      </w:r>
    </w:p>
    <w:p>
      <w:pPr>
        <w:pStyle w:val="BodyText"/>
      </w:pPr>
      <w:r>
        <w:t xml:space="preserve">2. The Journalist confirms that all reporting activities were conducted in full compliance with the Egyptian Press Law No. 92 of 1996 (as amended) and the regulations of the Supreme Council of the Press in Egypt Alexandria.</w:t>
      </w:r>
    </w:p>
    <w:p>
      <w:pPr>
        <w:pStyle w:val="BodyText"/>
      </w:pPr>
      <w:r>
        <w:t xml:space="preserve">3. This Invoice has been issued in accordance with the Egyptian Tax Authority's electronic invoicing requirements. A digital copy is available upon request via the client's procurement portal.</w:t>
      </w:r>
    </w:p>
    <w:p>
      <w:pPr>
        <w:pStyle w:val="BodyText"/>
      </w:pPr>
      <w:r>
        <w:t xml:space="preserve">4. Should the client require any amendments, additional reporting, or supplementary materials related to the services described herein, a revised Invoice will be issued separately with updated line items and totals.</w:t>
      </w:r>
    </w:p>
    <w:p>
      <w:pPr>
        <w:pStyle w:val="BodyText"/>
      </w:pPr>
      <w:r>
        <w:t xml:space="preserve">5. All personal data processed in connection with this Invoice is handled in compliance with the Egyptian Personal Data Protection Law No. 151 of 2020.</w:t>
      </w:r>
    </w:p>
    <w:bookmarkEnd w:id="24"/>
    <w:p>
      <w:pPr>
        <w:pStyle w:val="BodyText"/>
      </w:pPr>
      <w:r>
        <w:rPr>
          <w:bCs/>
          <w:b/>
        </w:rPr>
        <w:t xml:space="preserve">Ahmed Mahmoud El-Sayed – Freelance Journalist, Egypt Alexandria</w:t>
      </w:r>
    </w:p>
    <w:p>
      <w:pPr>
        <w:pStyle w:val="BodyText"/>
      </w:pPr>
      <w:r>
        <w:t xml:space="preserve">42 Corniche El-Nil Street, El-Montaza, Egypt Alexandria 21543 | +20 3 482 5567 | a.el-sayed.journalist@alexmedia.eg</w:t>
      </w:r>
    </w:p>
    <w:p>
      <w:pPr>
        <w:pStyle w:val="BodyText"/>
      </w:pPr>
      <w:r>
        <w:t xml:space="preserve">Registered with the Egyptian Press Syndicate – Alexandria Chapter | Tax Reg. TR-ALX-2024-88341</w:t>
      </w:r>
    </w:p>
    <w:p>
      <w:pPr>
        <w:pStyle w:val="BodyText"/>
      </w:pPr>
      <w:r>
        <w:t xml:space="preserve">This Invoice is valid for 90 days from the date of issue. Please reference Invoice No. INV-ALX-2025-0047 in all correspondence and payment remittances.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Egypt Alexandria</dc:title>
  <dc:creator/>
  <dc:language>en</dc:language>
  <cp:keywords/>
  <dcterms:created xsi:type="dcterms:W3CDTF">2026-10-10T05:49:43Z</dcterms:created>
  <dcterms:modified xsi:type="dcterms:W3CDTF">2026-10-10T05:49:43Z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