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invoice"/>
    <w:p>
      <w:pPr>
        <w:pStyle w:val="Heading1"/>
      </w:pPr>
      <w:r>
        <w:t xml:space="preserve">INVOICE</w:t>
      </w:r>
    </w:p>
    <w:p>
      <w:pPr>
        <w:pStyle w:val="FirstParagraph"/>
      </w:pPr>
      <w:r>
        <w:t xml:space="preserve">Professional Journalist Services — Malaysia Kuala Lumpur</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KL-JRN-2025-0472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journalist-service-provider"/>
    <w:p>
      <w:pPr>
        <w:pStyle w:val="Heading4"/>
      </w:pPr>
      <w:r>
        <w:t xml:space="preserve">Journalist / Service Provider</w:t>
      </w:r>
    </w:p>
    <w:p>
      <w:pPr>
        <w:pStyle w:val="FirstParagraph"/>
      </w:pPr>
      <w:r>
        <w:rPr>
          <w:bCs/>
          <w:b/>
        </w:rPr>
        <w:t xml:space="preserve">Name:</w:t>
      </w:r>
      <w:r>
        <w:t xml:space="preserve"> </w:t>
      </w:r>
      <w:r>
        <w:t xml:space="preserve">Ahmad Faizal bin Rahman</w:t>
      </w:r>
    </w:p>
    <w:p>
      <w:pPr>
        <w:pStyle w:val="BodyText"/>
      </w:pPr>
      <w:r>
        <w:rPr>
          <w:bCs/>
          <w:b/>
        </w:rPr>
        <w:t xml:space="preserve">Title:</w:t>
      </w:r>
      <w:r>
        <w:t xml:space="preserve"> </w:t>
      </w:r>
      <w:r>
        <w:t xml:space="preserve">Senior Investigative Journalist</w:t>
      </w:r>
    </w:p>
    <w:p>
      <w:pPr>
        <w:pStyle w:val="BodyText"/>
      </w:pPr>
      <w:r>
        <w:rPr>
          <w:bCs/>
          <w:b/>
        </w:rPr>
        <w:t xml:space="preserve">Company:</w:t>
      </w:r>
      <w:r>
        <w:t xml:space="preserve"> </w:t>
      </w:r>
      <w:r>
        <w:t xml:space="preserve">KL Chronicle Media Group Sdn. Bhd.</w:t>
      </w:r>
    </w:p>
    <w:p>
      <w:pPr>
        <w:pStyle w:val="BodyText"/>
      </w:pPr>
      <w:r>
        <w:rPr>
          <w:bCs/>
          <w:b/>
        </w:rPr>
        <w:t xml:space="preserve">Address:</w:t>
      </w:r>
      <w:r>
        <w:t xml:space="preserve"> </w:t>
      </w:r>
      <w:r>
        <w:t xml:space="preserve">Level 12, Menara KL, Jalan Sultan Ismail, 50250 Malaysia Kuala Lumpur</w:t>
      </w:r>
    </w:p>
    <w:p>
      <w:pPr>
        <w:pStyle w:val="BodyText"/>
      </w:pPr>
      <w:r>
        <w:rPr>
          <w:bCs/>
          <w:b/>
        </w:rPr>
        <w:t xml:space="preserve">Email:</w:t>
      </w:r>
      <w:r>
        <w:t xml:space="preserve"> </w:t>
      </w:r>
      <w:r>
        <w:t xml:space="preserve">a.faizal@klchronicle.com.my</w:t>
      </w:r>
    </w:p>
    <w:p>
      <w:pPr>
        <w:pStyle w:val="BodyText"/>
      </w:pPr>
      <w:r>
        <w:rPr>
          <w:bCs/>
          <w:b/>
        </w:rPr>
        <w:t xml:space="preserve">Phone:</w:t>
      </w:r>
      <w:r>
        <w:t xml:space="preserve"> </w:t>
      </w:r>
      <w:r>
        <w:t xml:space="preserve">+60 3-2145 6789</w:t>
      </w:r>
    </w:p>
    <w:p>
      <w:pPr>
        <w:pStyle w:val="BodyText"/>
      </w:pPr>
      <w:r>
        <w:rPr>
          <w:bCs/>
          <w:b/>
        </w:rPr>
        <w:t xml:space="preserve">Registration No.:</w:t>
      </w:r>
      <w:r>
        <w:t xml:space="preserve"> </w:t>
      </w:r>
      <w:r>
        <w:t xml:space="preserve">201901045678 (SSM)</w:t>
      </w:r>
    </w:p>
    <w:p>
      <w:pPr>
        <w:pStyle w:val="BodyText"/>
      </w:pPr>
      <w:r>
        <w:rPr>
          <w:bCs/>
          <w:b/>
        </w:rPr>
        <w:t xml:space="preserve">Press Card No.:</w:t>
      </w:r>
      <w:r>
        <w:t xml:space="preserve"> </w:t>
      </w:r>
      <w:r>
        <w:t xml:space="preserve">MY-JRN-2024-88341</w:t>
      </w:r>
    </w:p>
    <w:bookmarkEnd w:id="22"/>
    <w:bookmarkStart w:id="23" w:name="bill-to-client"/>
    <w:p>
      <w:pPr>
        <w:pStyle w:val="Heading4"/>
      </w:pPr>
      <w:r>
        <w:t xml:space="preserve">Bill To / Client</w:t>
      </w:r>
    </w:p>
    <w:p>
      <w:pPr>
        <w:pStyle w:val="FirstParagraph"/>
      </w:pPr>
      <w:r>
        <w:rPr>
          <w:bCs/>
          <w:b/>
        </w:rPr>
        <w:t xml:space="preserve">Company:</w:t>
      </w:r>
      <w:r>
        <w:t xml:space="preserve"> </w:t>
      </w:r>
      <w:r>
        <w:t xml:space="preserve">Nusantara Corporate Communications Sdn. Bhd.</w:t>
      </w:r>
    </w:p>
    <w:p>
      <w:pPr>
        <w:pStyle w:val="BodyText"/>
      </w:pPr>
      <w:r>
        <w:rPr>
          <w:bCs/>
          <w:b/>
        </w:rPr>
        <w:t xml:space="preserve">Attn:</w:t>
      </w:r>
      <w:r>
        <w:t xml:space="preserve"> </w:t>
      </w:r>
      <w:r>
        <w:t xml:space="preserve">Ms. Lim Wei Ling, Director of Communications</w:t>
      </w:r>
    </w:p>
    <w:p>
      <w:pPr>
        <w:pStyle w:val="BodyText"/>
      </w:pPr>
      <w:r>
        <w:rPr>
          <w:bCs/>
          <w:b/>
        </w:rPr>
        <w:t xml:space="preserve">Address:</w:t>
      </w:r>
      <w:r>
        <w:t xml:space="preserve"> </w:t>
      </w:r>
      <w:r>
        <w:t xml:space="preserve">Suite 2804, The Exchange TRX, Persiaran TRX 2, 59100 Malaysia Kuala Lumpur</w:t>
      </w:r>
    </w:p>
    <w:p>
      <w:pPr>
        <w:pStyle w:val="BodyText"/>
      </w:pPr>
      <w:r>
        <w:rPr>
          <w:bCs/>
          <w:b/>
        </w:rPr>
        <w:t xml:space="preserve">Email:</w:t>
      </w:r>
      <w:r>
        <w:t xml:space="preserve"> </w:t>
      </w:r>
      <w:r>
        <w:t xml:space="preserve">wlim@nusantaracc.com.my</w:t>
      </w:r>
    </w:p>
    <w:p>
      <w:pPr>
        <w:pStyle w:val="BodyText"/>
      </w:pPr>
      <w:r>
        <w:rPr>
          <w:bCs/>
          <w:b/>
        </w:rPr>
        <w:t xml:space="preserve">Phone:</w:t>
      </w:r>
      <w:r>
        <w:t xml:space="preserve"> </w:t>
      </w:r>
      <w:r>
        <w:t xml:space="preserve">+60 3-7788 1234</w:t>
      </w:r>
    </w:p>
    <w:p>
      <w:pPr>
        <w:pStyle w:val="BodyText"/>
      </w:pPr>
      <w:r>
        <w:rPr>
          <w:bCs/>
          <w:b/>
        </w:rPr>
        <w:t xml:space="preserve">Registration No.:</w:t>
      </w:r>
      <w:r>
        <w:t xml:space="preserve"> </w:t>
      </w:r>
      <w:r>
        <w:t xml:space="preserve">201501234567 (SSM)</w:t>
      </w:r>
    </w:p>
    <w:p>
      <w:pPr>
        <w:pStyle w:val="BodyText"/>
      </w:pPr>
      <w:r>
        <w:rPr>
          <w:bCs/>
          <w:b/>
        </w:rPr>
        <w:t xml:space="preserve">Tax ID (SST):</w:t>
      </w:r>
      <w:r>
        <w:t xml:space="preserve"> </w:t>
      </w:r>
      <w:r>
        <w:t xml:space="preserve">001234567890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Journalist Services</w:t>
            </w:r>
          </w:p>
        </w:tc>
        <w:tc>
          <w:tcPr/>
          <w:p>
            <w:pPr>
              <w:pStyle w:val="Compact"/>
              <w:jc w:val="left"/>
            </w:pPr>
            <w:r>
              <w:t xml:space="preserve">Date</w:t>
            </w:r>
          </w:p>
        </w:tc>
        <w:tc>
          <w:tcPr/>
          <w:p>
            <w:pPr>
              <w:pStyle w:val="Compact"/>
              <w:jc w:val="left"/>
            </w:pPr>
            <w:r>
              <w:t xml:space="preserve">Rate (MYR)</w:t>
            </w:r>
          </w:p>
        </w:tc>
        <w:tc>
          <w:tcPr/>
          <w:p>
            <w:pPr>
              <w:pStyle w:val="Compact"/>
              <w:jc w:val="left"/>
            </w:pPr>
            <w:r>
              <w:t xml:space="preserve">Qty</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Investigative journalism reporting on corporate governance practices in the Malaysian financial sector. The Journalist conducted on-site interviews, document analysis, and cross-referencing of public records in Malaysia Kuala Lumpur.</w:t>
            </w:r>
          </w:p>
        </w:tc>
        <w:tc>
          <w:tcPr/>
          <w:p>
            <w:pPr>
              <w:pStyle w:val="Compact"/>
              <w:jc w:val="left"/>
            </w:pPr>
            <w:r>
              <w:t xml:space="preserve">02 Jun 2025</w:t>
            </w:r>
          </w:p>
        </w:tc>
        <w:tc>
          <w:tcPr/>
          <w:p>
            <w:pPr>
              <w:pStyle w:val="Compact"/>
              <w:jc w:val="left"/>
            </w:pPr>
            <w:r>
              <w:t xml:space="preserve">1,200.00</w:t>
            </w:r>
          </w:p>
        </w:tc>
        <w:tc>
          <w:tcPr/>
          <w:p>
            <w:pPr>
              <w:pStyle w:val="Compact"/>
              <w:jc w:val="left"/>
            </w:pPr>
            <w:r>
              <w:t xml:space="preserve">3 days</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Editorial writing and publication of a 4,500-word feature article for the client's annual corporate report. The Journalist ensured all content met the editorial standards of Malaysia Kuala Lumpur media outlets and complied with the Malaysian Communications and Multimedia Commission (MCMC) guidelines.</w:t>
            </w:r>
          </w:p>
        </w:tc>
        <w:tc>
          <w:tcPr/>
          <w:p>
            <w:pPr>
              <w:pStyle w:val="Compact"/>
              <w:jc w:val="left"/>
            </w:pPr>
            <w:r>
              <w:t xml:space="preserve">05 Jun 2025</w:t>
            </w:r>
          </w:p>
        </w:tc>
        <w:tc>
          <w:tcPr/>
          <w:p>
            <w:pPr>
              <w:pStyle w:val="Compact"/>
              <w:jc w:val="left"/>
            </w:pPr>
            <w:r>
              <w:t xml:space="preserve">2,800.00</w:t>
            </w:r>
          </w:p>
        </w:tc>
        <w:tc>
          <w:tcPr/>
          <w:p>
            <w:pPr>
              <w:pStyle w:val="Compact"/>
              <w:jc w:val="left"/>
            </w:pPr>
            <w:r>
              <w:t xml:space="preserve">1 article</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Live broadcast coverage of the client's product launch event held at the Kuala Lumpur Convention Centre, Malaysia Kuala Lumpur. The Journalist provided real-time narration, post-event written summary, and social media content distribution.</w:t>
            </w:r>
          </w:p>
        </w:tc>
        <w:tc>
          <w:tcPr/>
          <w:p>
            <w:pPr>
              <w:pStyle w:val="Compact"/>
              <w:jc w:val="left"/>
            </w:pPr>
            <w:r>
              <w:t xml:space="preserve">09 Jun 2025</w:t>
            </w:r>
          </w:p>
        </w:tc>
        <w:tc>
          <w:tcPr/>
          <w:p>
            <w:pPr>
              <w:pStyle w:val="Compact"/>
              <w:jc w:val="left"/>
            </w:pPr>
            <w:r>
              <w:t xml:space="preserve">1,500.00</w:t>
            </w:r>
          </w:p>
        </w:tc>
        <w:tc>
          <w:tcPr/>
          <w:p>
            <w:pPr>
              <w:pStyle w:val="Compact"/>
              <w:jc w:val="left"/>
            </w:pPr>
            <w:r>
              <w:t xml:space="preserve">1 event</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Media training workshop for the client's executive team (8 participants) on handling press inquiries and working with Journalist representatives in Malaysia Kuala Lumpur. Delivered at the client's office in TRX, Malaysia Kuala Lumpur.</w:t>
            </w:r>
          </w:p>
        </w:tc>
        <w:tc>
          <w:tcPr/>
          <w:p>
            <w:pPr>
              <w:pStyle w:val="Compact"/>
              <w:jc w:val="left"/>
            </w:pPr>
            <w:r>
              <w:t xml:space="preserve">11 Jun 2025</w:t>
            </w:r>
          </w:p>
        </w:tc>
        <w:tc>
          <w:tcPr/>
          <w:p>
            <w:pPr>
              <w:pStyle w:val="Compact"/>
              <w:jc w:val="left"/>
            </w:pPr>
            <w:r>
              <w:t xml:space="preserve">2,200.00</w:t>
            </w:r>
          </w:p>
        </w:tc>
        <w:tc>
          <w:tcPr/>
          <w:p>
            <w:pPr>
              <w:pStyle w:val="Compact"/>
              <w:jc w:val="left"/>
            </w:pPr>
            <w:r>
              <w:t xml:space="preserve">1 session</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Photographic documentation and image editing for the above-mentioned event coverage. Includes 45 high-resolution photographs with full commercial usage rights as per Malaysian copyright law.</w:t>
            </w:r>
          </w:p>
        </w:tc>
        <w:tc>
          <w:tcPr/>
          <w:p>
            <w:pPr>
              <w:pStyle w:val="Compact"/>
              <w:jc w:val="left"/>
            </w:pPr>
            <w:r>
              <w:t xml:space="preserve">09 Jun 2025</w:t>
            </w:r>
          </w:p>
        </w:tc>
        <w:tc>
          <w:tcPr/>
          <w:p>
            <w:pPr>
              <w:pStyle w:val="Compact"/>
              <w:jc w:val="left"/>
            </w:pPr>
            <w:r>
              <w:t xml:space="preserve">850.00</w:t>
            </w:r>
          </w:p>
        </w:tc>
        <w:tc>
          <w:tcPr/>
          <w:p>
            <w:pPr>
              <w:pStyle w:val="Compact"/>
              <w:jc w:val="left"/>
            </w:pPr>
            <w:r>
              <w:t xml:space="preserve">1 package</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Travel and local transportation expenses incurred by the Journalist across various districts of Malaysia Kuala Lumpur (Kuala Lumpur City Centre, Bangsar, Mont Kiara, and Petaling Jaya) for field reporting purposes.</w:t>
            </w:r>
          </w:p>
        </w:tc>
        <w:tc>
          <w:tcPr/>
          <w:p>
            <w:pPr>
              <w:pStyle w:val="Compact"/>
              <w:jc w:val="left"/>
            </w:pPr>
            <w:r>
              <w:t xml:space="preserve">02–11 Jun 2025</w:t>
            </w:r>
          </w:p>
        </w:tc>
        <w:tc>
          <w:tcPr/>
          <w:p>
            <w:pPr>
              <w:pStyle w:val="Compact"/>
              <w:jc w:val="left"/>
            </w:pPr>
            <w:r>
              <w:t xml:space="preserve">450.00</w:t>
            </w:r>
          </w:p>
        </w:tc>
        <w:tc>
          <w:tcPr/>
          <w:p>
            <w:pPr>
              <w:pStyle w:val="Compact"/>
              <w:jc w:val="left"/>
            </w:pPr>
            <w:r>
              <w:t xml:space="preserve">1 lump sum</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11,400.00</w:t>
            </w:r>
          </w:p>
        </w:tc>
      </w:tr>
      <w:tr>
        <w:tc>
          <w:tcPr/>
          <w:p>
            <w:pPr>
              <w:pStyle w:val="Compact"/>
              <w:jc w:val="left"/>
            </w:pPr>
            <w:r>
              <w:t xml:space="preserve">SST (Service Tax @ 8%)</w:t>
            </w:r>
          </w:p>
        </w:tc>
        <w:tc>
          <w:tcPr/>
          <w:p>
            <w:pPr>
              <w:pStyle w:val="Compact"/>
              <w:jc w:val="left"/>
            </w:pPr>
            <w:r>
              <w:t xml:space="preserve">RM 912.00</w:t>
            </w:r>
          </w:p>
        </w:tc>
      </w:tr>
      <w:tr>
        <w:tc>
          <w:tcPr/>
          <w:p>
            <w:pPr>
              <w:pStyle w:val="Compact"/>
              <w:jc w:val="left"/>
            </w:pPr>
            <w:r>
              <w:t xml:space="preserve">Disbursement / Reimbursable Expenses</w:t>
            </w:r>
          </w:p>
        </w:tc>
        <w:tc>
          <w:tcPr/>
          <w:p>
            <w:pPr>
              <w:pStyle w:val="Compact"/>
              <w:jc w:val="left"/>
            </w:pPr>
            <w:r>
              <w:t xml:space="preserve">RM 0.00</w:t>
            </w:r>
          </w:p>
        </w:tc>
      </w:tr>
      <w:tr>
        <w:tc>
          <w:tcPr/>
          <w:p>
            <w:pPr>
              <w:pStyle w:val="Compact"/>
              <w:jc w:val="left"/>
            </w:pPr>
            <w:r>
              <w:t xml:space="preserve">Grand Total (MYR)</w:t>
            </w:r>
          </w:p>
        </w:tc>
        <w:tc>
          <w:tcPr/>
          <w:p>
            <w:pPr>
              <w:pStyle w:val="Compact"/>
              <w:jc w:val="left"/>
            </w:pPr>
            <w:r>
              <w:t xml:space="preserve">RM 12,312.00</w:t>
            </w:r>
          </w:p>
        </w:tc>
      </w:tr>
    </w:tbl>
    <w:bookmarkStart w:id="24" w:name="payment-instructions-notes"/>
    <w:p>
      <w:pPr>
        <w:pStyle w:val="Heading4"/>
      </w:pPr>
      <w:r>
        <w:t xml:space="preserve">Payment Instructions &amp; Notes</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KL Chronicle Media Group Sdn. Bhd.</w:t>
      </w:r>
    </w:p>
    <w:p>
      <w:pPr>
        <w:pStyle w:val="BodyText"/>
      </w:pPr>
      <w:r>
        <w:rPr>
          <w:bCs/>
          <w:b/>
        </w:rPr>
        <w:t xml:space="preserve">Account No.:</w:t>
      </w:r>
      <w:r>
        <w:t xml:space="preserve"> </w:t>
      </w:r>
      <w:r>
        <w:t xml:space="preserve">5123 4567 8901</w:t>
      </w:r>
    </w:p>
    <w:p>
      <w:pPr>
        <w:pStyle w:val="BodyText"/>
      </w:pPr>
      <w:r>
        <w:rPr>
          <w:bCs/>
          <w:b/>
        </w:rPr>
        <w:t xml:space="preserve">SWIFT Code:</w:t>
      </w:r>
      <w:r>
        <w:t xml:space="preserve"> </w:t>
      </w:r>
      <w:r>
        <w:t xml:space="preserve">BMMBMYKL</w:t>
      </w:r>
    </w:p>
    <w:p>
      <w:pPr>
        <w:pStyle w:val="BodyText"/>
      </w:pPr>
      <w:r>
        <w:rPr>
          <w:bCs/>
          <w:b/>
        </w:rPr>
        <w:t xml:space="preserve">Reference:</w:t>
      </w:r>
      <w:r>
        <w:t xml:space="preserve"> </w:t>
      </w:r>
      <w:r>
        <w:t xml:space="preserve">Please quote Invoice No. KL-JRN-2025-0472 in all payment communications.</w:t>
      </w:r>
    </w:p>
    <w:p>
      <w:pPr>
        <w:pStyle w:val="BodyText"/>
      </w:pPr>
      <w:r>
        <w:t xml:space="preserve">This Invoice is issued in accordance with the Malaysian Inland Revenue Board (LHDN) requirements and the Service Tax Act 2018. The Journalist services rendered are subject to the Malaysian Press Council Code of Ethics and the Communications and Multimedia Act 1998. All content produced by the Journalist remains the intellectual property of the client upon full settlement of this Invoice. Late payments beyond the due date of 30 June 2025 shall attract a penalty interest of 1.5% per month as stipulated in the service agreement. This Invoice is valid for 90 days from the date of issue. For any queries regarding this Invoice or the Journalist services provided in Malaysia Kuala Lumpur, please contact the undersigned at the details provided above.</w:t>
      </w:r>
    </w:p>
    <w:bookmarkEnd w:id="24"/>
    <w:p>
      <w:pPr>
        <w:pStyle w:val="BodyText"/>
      </w:pPr>
      <w:r>
        <w:t xml:space="preserve">Thank you for your business. This Invoice was generated electronically and is valid without a physical signature in accordance with the Electronic Commerce Act 2006 of Malaysia.</w:t>
      </w:r>
    </w:p>
    <w:p>
      <w:pPr>
        <w:pStyle w:val="BodyText"/>
      </w:pPr>
      <w:r>
        <w:t xml:space="preserve">KL Chronicle Media Group Sdn. Bhd. — Professional Journalist Services — Malaysia Kuala Lumpur</w:t>
      </w:r>
    </w:p>
    <w:p>
      <w:pPr>
        <w:pStyle w:val="BodyText"/>
      </w:pPr>
      <w:r>
        <w:t xml:space="preserve">Invoice No. KL-JRN-2025-0472 | Issued: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Malaysia Kuala Lumpur</dc:title>
  <dc:creator/>
  <dc:language>en</dc:language>
  <cp:keywords/>
  <dcterms:created xsi:type="dcterms:W3CDTF">2026-10-10T01:22:36Z</dcterms:created>
  <dcterms:modified xsi:type="dcterms:W3CDTF">2026-10-10T01:22:36Z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