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invoice"/>
    <w:p>
      <w:pPr>
        <w:pStyle w:val="Heading1"/>
      </w:pPr>
      <w:r>
        <w:t xml:space="preserve">INVOICE</w:t>
      </w:r>
    </w:p>
    <w:p>
      <w:pPr>
        <w:pStyle w:val="FirstParagraph"/>
      </w:pPr>
      <w:r>
        <w:t xml:space="preserve">Official Judicial Services Invoice — Republic of Algeria, City of Algiers</w:t>
      </w:r>
    </w:p>
    <w:p>
      <w:pPr>
        <w:pStyle w:val="BodyText"/>
      </w:pPr>
      <w:r>
        <w:t xml:space="preserve">Invoice Reference No: INV-ALG-2025-00472  |  Date of Issue: 14 June 2025</w:t>
      </w:r>
    </w:p>
    <w:bookmarkEnd w:id="20"/>
    <w:bookmarkStart w:id="21" w:name="issued-by-service-provider"/>
    <w:p>
      <w:pPr>
        <w:pStyle w:val="Heading3"/>
      </w:pPr>
      <w:r>
        <w:t xml:space="preserve">Issued By (Service Provider)</w:t>
      </w:r>
    </w:p>
    <w:p>
      <w:pPr>
        <w:pStyle w:val="FirstParagraph"/>
      </w:pPr>
      <w:r>
        <w:rPr>
          <w:bCs/>
          <w:b/>
        </w:rPr>
        <w:t xml:space="preserve">Office of the Presiding Judge</w:t>
      </w:r>
    </w:p>
    <w:p>
      <w:pPr>
        <w:pStyle w:val="BodyText"/>
      </w:pPr>
      <w:r>
        <w:t xml:space="preserve">First Instance Court of Algiers</w:t>
      </w:r>
    </w:p>
    <w:p>
      <w:pPr>
        <w:pStyle w:val="BodyText"/>
      </w:pPr>
      <w:r>
        <w:t xml:space="preserve">12, Boulevard Zighout Youcef</w:t>
      </w:r>
    </w:p>
    <w:p>
      <w:pPr>
        <w:pStyle w:val="BodyText"/>
      </w:pPr>
      <w:r>
        <w:t xml:space="preserve">Hydra, Algiers 16000</w:t>
      </w:r>
    </w:p>
    <w:p>
      <w:pPr>
        <w:pStyle w:val="BodyText"/>
      </w:pPr>
      <w:r>
        <w:t xml:space="preserve">Algeria</w:t>
      </w:r>
    </w:p>
    <w:p>
      <w:pPr>
        <w:pStyle w:val="BodyText"/>
      </w:pPr>
      <w:r>
        <w:t xml:space="preserve">Tel: +213 (0) 23 45 67 89</w:t>
      </w:r>
    </w:p>
    <w:p>
      <w:pPr>
        <w:pStyle w:val="BodyText"/>
      </w:pPr>
      <w:r>
        <w:t xml:space="preserve">Email: court.algiers@justice.dz</w:t>
      </w:r>
    </w:p>
    <w:p>
      <w:pPr>
        <w:pStyle w:val="BodyText"/>
      </w:pPr>
      <w:r>
        <w:t xml:space="preserve">Tax ID (NIF): 0999 1234 5678</w:t>
      </w:r>
    </w:p>
    <w:bookmarkEnd w:id="21"/>
    <w:bookmarkStart w:id="22" w:name="billed-to-client-party"/>
    <w:p>
      <w:pPr>
        <w:pStyle w:val="Heading3"/>
      </w:pPr>
      <w:r>
        <w:t xml:space="preserve">Billed To (Client / Party)</w:t>
      </w:r>
    </w:p>
    <w:p>
      <w:pPr>
        <w:pStyle w:val="FirstParagraph"/>
      </w:pPr>
      <w:r>
        <w:rPr>
          <w:bCs/>
          <w:b/>
        </w:rPr>
        <w:t xml:space="preserve">Mr. Karim Benali</w:t>
      </w:r>
    </w:p>
    <w:p>
      <w:pPr>
        <w:pStyle w:val="BodyText"/>
      </w:pPr>
      <w:r>
        <w:t xml:space="preserve">45, Rue Didouche Mourad</w:t>
      </w:r>
    </w:p>
    <w:p>
      <w:pPr>
        <w:pStyle w:val="BodyText"/>
      </w:pPr>
      <w:r>
        <w:t xml:space="preserve">Bab El Oued, Algiers 13000</w:t>
      </w:r>
    </w:p>
    <w:p>
      <w:pPr>
        <w:pStyle w:val="BodyText"/>
      </w:pPr>
      <w:r>
        <w:t xml:space="preserve">Algeria</w:t>
      </w:r>
    </w:p>
    <w:p>
      <w:pPr>
        <w:pStyle w:val="BodyText"/>
      </w:pPr>
      <w:r>
        <w:t xml:space="preserve">Tel: +213 (0) 550 12 34 56</w:t>
      </w:r>
    </w:p>
    <w:p>
      <w:pPr>
        <w:pStyle w:val="BodyText"/>
      </w:pPr>
      <w:r>
        <w:t xml:space="preserve">Email: k.benali@email.dz</w:t>
      </w:r>
    </w:p>
    <w:p>
      <w:pPr>
        <w:pStyle w:val="BodyText"/>
      </w:pPr>
      <w:r>
        <w:t xml:space="preserve">National ID: 18905123456</w:t>
      </w:r>
    </w:p>
    <w:bookmarkEnd w:id="22"/>
    <w:bookmarkStart w:id="23" w:name="case-reference"/>
    <w:p>
      <w:pPr>
        <w:pStyle w:val="Heading3"/>
      </w:pPr>
      <w:r>
        <w:t xml:space="preserve">Case Reference</w:t>
      </w:r>
    </w:p>
    <w:p>
      <w:pPr>
        <w:pStyle w:val="FirstParagraph"/>
      </w:pPr>
      <w:r>
        <w:t xml:space="preserve">Case No: 2025/ALG/CIV/03847</w:t>
      </w:r>
    </w:p>
    <w:p>
      <w:pPr>
        <w:pStyle w:val="BodyText"/>
      </w:pPr>
      <w:r>
        <w:t xml:space="preserve">Jurisdiction: Civil Division, First Instance Court of Algiers</w:t>
      </w:r>
    </w:p>
    <w:p>
      <w:pPr>
        <w:pStyle w:val="BodyText"/>
      </w:pPr>
      <w:r>
        <w:t xml:space="preserve">Judge Presiding: Hon. Judge Fatima Zohra Haddad</w:t>
      </w:r>
    </w:p>
    <w:p>
      <w:pPr>
        <w:pStyle w:val="BodyText"/>
      </w:pPr>
      <w:r>
        <w:t xml:space="preserve">Nature of Proceeding: Contractual Dispute — Commercial Lease</w:t>
      </w:r>
    </w:p>
    <w:bookmarkEnd w:id="23"/>
    <w:bookmarkStart w:id="24" w:name="payment-details"/>
    <w:p>
      <w:pPr>
        <w:pStyle w:val="Heading3"/>
      </w:pPr>
      <w:r>
        <w:t xml:space="preserve">Payment Details</w:t>
      </w:r>
    </w:p>
    <w:p>
      <w:pPr>
        <w:pStyle w:val="FirstParagraph"/>
      </w:pPr>
      <w:r>
        <w:t xml:space="preserve">Payment Due: 14 July 2025 (30 days)</w:t>
      </w:r>
    </w:p>
    <w:p>
      <w:pPr>
        <w:pStyle w:val="BodyText"/>
      </w:pPr>
      <w:r>
        <w:t xml:space="preserve">Bank: Banque d'Algerie</w:t>
      </w:r>
    </w:p>
    <w:p>
      <w:pPr>
        <w:pStyle w:val="BodyText"/>
      </w:pPr>
      <w:r>
        <w:t xml:space="preserve">IBAN: DZ76 0002 1010 0300 0123 4567 89</w:t>
      </w:r>
    </w:p>
    <w:p>
      <w:pPr>
        <w:pStyle w:val="BodyText"/>
      </w:pPr>
      <w:r>
        <w:t xml:space="preserve">SWIFT: BDAEDZAL</w:t>
      </w:r>
    </w:p>
    <w:p>
      <w:pPr>
        <w:pStyle w:val="BodyText"/>
      </w:pPr>
      <w:r>
        <w:t xml:space="preserve">Currency: Algerian Dinar (DZD)</w:t>
      </w:r>
    </w:p>
    <w:bookmarkEnd w:id="24"/>
    <w:bookmarkStart w:id="26"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 / Hours</w:t>
            </w:r>
          </w:p>
        </w:tc>
        <w:tc>
          <w:tcPr/>
          <w:p>
            <w:pPr>
              <w:pStyle w:val="Compact"/>
              <w:jc w:val="left"/>
            </w:pPr>
            <w:r>
              <w:t xml:space="preserve">Unit 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Initial case filing and registration before the Judge of the Civil Division, including review of submitted pleadings and evidence documentation</w:t>
            </w:r>
          </w:p>
        </w:tc>
        <w:tc>
          <w:tcPr/>
          <w:p>
            <w:pPr>
              <w:pStyle w:val="Compact"/>
              <w:jc w:val="left"/>
            </w:pPr>
            <w:r>
              <w:t xml:space="preserve">03 Mar 2025</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First hearing conducted by the presiding Judge; oral arguments received from both parties; preliminary observations recorded in the court minutes</w:t>
            </w:r>
          </w:p>
        </w:tc>
        <w:tc>
          <w:tcPr/>
          <w:p>
            <w:pPr>
              <w:pStyle w:val="Compact"/>
              <w:jc w:val="left"/>
            </w:pPr>
            <w:r>
              <w:t xml:space="preserve">18 Mar 2025</w:t>
            </w:r>
          </w:p>
        </w:tc>
        <w:tc>
          <w:tcPr/>
          <w:p>
            <w:pPr>
              <w:pStyle w:val="Compact"/>
              <w:jc w:val="left"/>
            </w:pPr>
            <w:r>
              <w:t xml:space="preserve">3 hours</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Second hearing and evidentiary examination; the Judge ordered the production of additional documentary evidence and appointed a court expert for valuation</w:t>
            </w:r>
          </w:p>
        </w:tc>
        <w:tc>
          <w:tcPr/>
          <w:p>
            <w:pPr>
              <w:pStyle w:val="Compact"/>
              <w:jc w:val="left"/>
            </w:pPr>
            <w:r>
              <w:t xml:space="preserve">08 Apr 2025</w:t>
            </w:r>
          </w:p>
        </w:tc>
        <w:tc>
          <w:tcPr/>
          <w:p>
            <w:pPr>
              <w:pStyle w:val="Compact"/>
              <w:jc w:val="left"/>
            </w:pPr>
            <w:r>
              <w:t xml:space="preserve">4 hours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Expert report review and judicial assessment; the Judge evaluated the findings of the appointed expert and issued interim procedural orders</w:t>
            </w:r>
          </w:p>
        </w:tc>
        <w:tc>
          <w:tcPr/>
          <w:p>
            <w:pPr>
              <w:pStyle w:val="Compact"/>
              <w:jc w:val="left"/>
            </w:pPr>
            <w:r>
              <w:t xml:space="preserve">29 Apr 2025</w:t>
            </w:r>
          </w:p>
        </w:tc>
        <w:tc>
          <w:tcPr/>
          <w:p>
            <w:pPr>
              <w:pStyle w:val="Compact"/>
              <w:jc w:val="left"/>
            </w:pPr>
            <w:r>
              <w:t xml:space="preserve">2 hours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5</w:t>
            </w:r>
          </w:p>
        </w:tc>
        <w:tc>
          <w:tcPr/>
          <w:p>
            <w:pPr>
              <w:pStyle w:val="Compact"/>
              <w:jc w:val="left"/>
            </w:pPr>
            <w:r>
              <w:t xml:space="preserve">Final hearing and closing arguments; the Judge delivered oral observations and reserved judgment for written deliberation</w:t>
            </w:r>
          </w:p>
        </w:tc>
        <w:tc>
          <w:tcPr/>
          <w:p>
            <w:pPr>
              <w:pStyle w:val="Compact"/>
              <w:jc w:val="left"/>
            </w:pPr>
            <w:r>
              <w:t xml:space="preserve">20 May 2025</w:t>
            </w:r>
          </w:p>
        </w:tc>
        <w:tc>
          <w:tcPr/>
          <w:p>
            <w:pPr>
              <w:pStyle w:val="Compact"/>
              <w:jc w:val="left"/>
            </w:pPr>
            <w:r>
              <w:t xml:space="preserve">3 hours</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6</w:t>
            </w:r>
          </w:p>
        </w:tc>
        <w:tc>
          <w:tcPr/>
          <w:p>
            <w:pPr>
              <w:pStyle w:val="Compact"/>
              <w:jc w:val="left"/>
            </w:pPr>
            <w:r>
              <w:t xml:space="preserve">Written judgment drafting, legal reasoning compilation, and formal notification of the ruling to all parties by the Judge's office</w:t>
            </w:r>
          </w:p>
        </w:tc>
        <w:tc>
          <w:tcPr/>
          <w:p>
            <w:pPr>
              <w:pStyle w:val="Compact"/>
              <w:jc w:val="left"/>
            </w:pPr>
            <w:r>
              <w:t xml:space="preserve">02 Jun 2025</w:t>
            </w:r>
          </w:p>
        </w:tc>
        <w:tc>
          <w:tcPr/>
          <w:p>
            <w:pPr>
              <w:pStyle w:val="Compact"/>
              <w:jc w:val="left"/>
            </w:pPr>
            <w:r>
              <w:t xml:space="preserve">1 item</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Court filing fees, stamp duties, and administrative processing charges as mandated by Algerian judicial regulations applicable in Algiers</w:t>
            </w:r>
          </w:p>
        </w:tc>
        <w:tc>
          <w:tcPr/>
          <w:p>
            <w:pPr>
              <w:pStyle w:val="Compact"/>
              <w:jc w:val="left"/>
            </w:pPr>
            <w:r>
              <w:t xml:space="preserve">02 Jun 2025</w:t>
            </w:r>
          </w:p>
        </w:tc>
        <w:tc>
          <w:tcPr/>
          <w:p>
            <w:pPr>
              <w:pStyle w:val="Compact"/>
              <w:jc w:val="left"/>
            </w:pPr>
            <w:r>
              <w:t xml:space="preserve">1 item</w:t>
            </w:r>
          </w:p>
        </w:tc>
        <w:tc>
          <w:tcPr/>
          <w:p>
            <w:pPr>
              <w:pStyle w:val="Compact"/>
              <w:jc w:val="left"/>
            </w:pPr>
            <w:r>
              <w:t xml:space="preserve">12,500</w:t>
            </w:r>
          </w:p>
        </w:tc>
        <w:tc>
          <w:tcPr/>
          <w:p>
            <w:pPr>
              <w:pStyle w:val="Compact"/>
              <w:jc w:val="left"/>
            </w:pPr>
            <w:r>
              <w:t xml:space="preserve">12,500</w:t>
            </w:r>
          </w:p>
        </w:tc>
      </w:tr>
    </w:tbl>
    <w:p>
      <w:pPr>
        <w:pStyle w:val="BodyText"/>
      </w:pPr>
      <w:r>
        <w:t xml:space="preserve">Subtotal:</w:t>
      </w:r>
      <w:r>
        <w:t xml:space="preserve"> </w:t>
      </w:r>
      <w:r>
        <w:t xml:space="preserve">143,500.00 DZD</w:t>
      </w:r>
    </w:p>
    <w:p>
      <w:pPr>
        <w:pStyle w:val="BodyText"/>
      </w:pPr>
      <w:r>
        <w:t xml:space="preserve">VAT (19% — Algerian Tax Code):</w:t>
      </w:r>
      <w:r>
        <w:t xml:space="preserve"> </w:t>
      </w:r>
      <w:r>
        <w:t xml:space="preserve">27,265.00 DZD</w:t>
      </w:r>
    </w:p>
    <w:p>
      <w:pPr>
        <w:pStyle w:val="BodyText"/>
      </w:pPr>
      <w:r>
        <w:t xml:space="preserve">Administrative Surcharge (2%):</w:t>
      </w:r>
      <w:r>
        <w:t xml:space="preserve"> </w:t>
      </w:r>
      <w:r>
        <w:t xml:space="preserve">2,870.00 DZD</w:t>
      </w:r>
    </w:p>
    <w:p>
      <w:pPr>
        <w:pStyle w:val="BodyText"/>
      </w:pPr>
      <w:r>
        <w:t xml:space="preserve">TOTAL AMOUNT DUE:</w:t>
      </w:r>
      <w:r>
        <w:t xml:space="preserve"> </w:t>
      </w:r>
      <w:r>
        <w:t xml:space="preserve">173,635.00 DZD</w:t>
      </w:r>
    </w:p>
    <w:bookmarkStart w:id="25" w:name="important-notes-and-terms"/>
    <w:p>
      <w:pPr>
        <w:pStyle w:val="Heading3"/>
      </w:pPr>
      <w:r>
        <w:t xml:space="preserve">Important Notes and Terms</w:t>
      </w:r>
    </w:p>
    <w:p>
      <w:pPr>
        <w:pStyle w:val="FirstParagraph"/>
      </w:pPr>
      <w:r>
        <w:t xml:space="preserve">1. This Invoice is issued in accordance with the Algerian Code of Civil Procedure and the applicable judicial fee regulations of the Republic of Algeria. All services described herein were rendered under the direct supervision and authority of the presiding Judge at the First Instance Court of Algiers.</w:t>
      </w:r>
    </w:p>
    <w:p>
      <w:pPr>
        <w:pStyle w:val="BodyText"/>
      </w:pPr>
      <w:r>
        <w:t xml:space="preserve">2. Payment must be remitted to the designated bank account of the Court of Algiers within thirty (30) calendar days from the date of issue. Late payments may be subject to statutory interest as defined by Algerian commercial law.</w:t>
      </w:r>
    </w:p>
    <w:p>
      <w:pPr>
        <w:pStyle w:val="BodyText"/>
      </w:pPr>
      <w:r>
        <w:t xml:space="preserve">3. The Judge's written judgment, once notified, constitutes the final legal instrument for this proceeding. Any appeal must be filed with the Court of Appeal of Algiers within the statutory period of thirty (30) days from the date of notification.</w:t>
      </w:r>
    </w:p>
    <w:p>
      <w:pPr>
        <w:pStyle w:val="BodyText"/>
      </w:pPr>
      <w:r>
        <w:t xml:space="preserve">4. This Invoice does not constitute legal advice. For matters pertaining to the interpretation of the Judge's ruling or subsequent procedural steps, the client is advised to consult a licensed attorney registered with the Bar of Algiers.</w:t>
      </w:r>
    </w:p>
    <w:p>
      <w:pPr>
        <w:pStyle w:val="BodyText"/>
      </w:pPr>
      <w:r>
        <w:t xml:space="preserve">5. All personal data processed in connection with this Invoice and the associated judicial proceeding are handled in compliance with Algerian Law No. 18-07 on the Protection of Personal Data.</w:t>
      </w:r>
    </w:p>
    <w:p>
      <w:pPr>
        <w:pStyle w:val="BodyText"/>
      </w:pPr>
      <w:r>
        <w:t xml:space="preserve">6. This document is valid only when bearing the official seal of the Court of Algiers and the signature of the court registrar. Any alteration or reproduction without authorization is strictly prohibited under Algerian penal law.</w:t>
      </w:r>
    </w:p>
    <w:bookmarkEnd w:id="25"/>
    <w:p>
      <w:pPr>
        <w:pStyle w:val="BodyText"/>
      </w:pPr>
      <w:r>
        <w:t xml:space="preserve">[Official Court Seal of Algiers]</w:t>
      </w:r>
    </w:p>
    <w:p>
      <w:pPr>
        <w:pStyle w:val="BodyText"/>
      </w:pPr>
      <w:r>
        <w:t xml:space="preserve">[Signature of Court Registrar]</w:t>
      </w:r>
    </w:p>
    <w:p>
      <w:pPr>
        <w:pStyle w:val="BodyText"/>
      </w:pPr>
      <w:r>
        <w:t xml:space="preserve">This Invoice was generated and issued by the Office of the Presiding Judge, First Instance Court of Algiers, Republic of Algeria.</w:t>
      </w:r>
    </w:p>
    <w:p>
      <w:pPr>
        <w:pStyle w:val="BodyText"/>
      </w:pPr>
      <w:r>
        <w:t xml:space="preserve">Document Reference: INV-ALG-2025-00472  |  Page 1 of 1  |  Language: English (translated from Arabic/French original)</w:t>
      </w:r>
    </w:p>
    <w:p>
      <w:pPr>
        <w:pStyle w:val="BodyText"/>
      </w:pPr>
      <w:r>
        <w:t xml:space="preserve">© 2025 Ministry of Justice, Republic of Algeria — Algiers.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Algiers, Algeria</dc:title>
  <dc:creator/>
  <dc:language>en</dc:language>
  <cp:keywords/>
  <dcterms:created xsi:type="dcterms:W3CDTF">2026-10-10T06:43:52Z</dcterms:created>
  <dcterms:modified xsi:type="dcterms:W3CDTF">2026-10-10T06:43:52Z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