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invoice"/>
    <w:p>
      <w:pPr>
        <w:pStyle w:val="Heading1"/>
      </w:pPr>
      <w:r>
        <w:t xml:space="preserve">INVOICE</w:t>
      </w:r>
    </w:p>
    <w:p>
      <w:pPr>
        <w:pStyle w:val="FirstParagraph"/>
      </w:pPr>
      <w:r>
        <w:t xml:space="preserve">Judicial Services — Republic of Argentina — City of Buenos Aires</w:t>
      </w:r>
    </w:p>
    <w:p>
      <w:pPr>
        <w:pStyle w:val="BodyText"/>
      </w:pPr>
      <w:r>
        <w:t xml:space="preserve">Invoice No.:</w:t>
      </w:r>
      <w:r>
        <w:t xml:space="preserve"> </w:t>
      </w:r>
      <w:r>
        <w:rPr>
          <w:bCs/>
          <w:b/>
        </w:rPr>
        <w:t xml:space="preserve">BA-JUD-2025-04871</w:t>
      </w:r>
      <w:r>
        <w:t xml:space="preserve">OFFICIAL</w:t>
      </w:r>
    </w:p>
    <w:bookmarkEnd w:id="20"/>
    <w:bookmarkStart w:id="21" w:name="issued-by-service-provider"/>
    <w:p>
      <w:pPr>
        <w:pStyle w:val="Heading3"/>
      </w:pPr>
      <w:r>
        <w:t xml:space="preserve">Issued By (Service Provider)</w:t>
      </w:r>
    </w:p>
    <w:p>
      <w:pPr>
        <w:pStyle w:val="FirstParagraph"/>
      </w:pPr>
      <w:r>
        <w:rPr>
          <w:bCs/>
          <w:b/>
        </w:rPr>
        <w:t xml:space="preserve">Hon. Dr. Alejandro R. Fernández</w:t>
      </w:r>
    </w:p>
    <w:p>
      <w:pPr>
        <w:pStyle w:val="BodyText"/>
      </w:pPr>
      <w:r>
        <w:t xml:space="preserve">Judge, Civil and Commercial Chamber No. 7</w:t>
      </w:r>
    </w:p>
    <w:p>
      <w:pPr>
        <w:pStyle w:val="BodyText"/>
      </w:pPr>
      <w:r>
        <w:t xml:space="preserve">Superior Court of Justice of the City of Buenos Aires</w:t>
      </w:r>
    </w:p>
    <w:p>
      <w:pPr>
        <w:pStyle w:val="BodyText"/>
      </w:pPr>
      <w:r>
        <w:t xml:space="preserve">Av. de los Incas 275, 1st Floor, C1425BGL</w:t>
      </w:r>
    </w:p>
    <w:p>
      <w:pPr>
        <w:pStyle w:val="BodyText"/>
      </w:pPr>
      <w:r>
        <w:t xml:space="preserve">Buenos Aires, Argentina</w:t>
      </w:r>
    </w:p>
    <w:p>
      <w:pPr>
        <w:pStyle w:val="BodyText"/>
      </w:pPr>
      <w:r>
        <w:t xml:space="preserve">CUIT: 20-12345678-9</w:t>
      </w:r>
    </w:p>
    <w:p>
      <w:pPr>
        <w:pStyle w:val="BodyText"/>
      </w:pPr>
      <w:r>
        <w:t xml:space="preserve">Professional Registration: CPACF No. 45.678</w:t>
      </w:r>
    </w:p>
    <w:p>
      <w:pPr>
        <w:pStyle w:val="BodyText"/>
      </w:pPr>
      <w:r>
        <w:t xml:space="preserve">Email: juzgado7.civil@poderjudicial.caba.gov.ar</w:t>
      </w:r>
    </w:p>
    <w:bookmarkEnd w:id="21"/>
    <w:bookmarkStart w:id="22" w:name="issued-to-client-party"/>
    <w:p>
      <w:pPr>
        <w:pStyle w:val="Heading3"/>
      </w:pPr>
      <w:r>
        <w:t xml:space="preserve">Issued To (Client / Party)</w:t>
      </w:r>
    </w:p>
    <w:p>
      <w:pPr>
        <w:pStyle w:val="FirstParagraph"/>
      </w:pPr>
      <w:r>
        <w:rPr>
          <w:bCs/>
          <w:b/>
        </w:rPr>
        <w:t xml:space="preserve">Compañía Industrial del Plata S.A.</w:t>
      </w:r>
    </w:p>
    <w:p>
      <w:pPr>
        <w:pStyle w:val="BodyText"/>
      </w:pPr>
      <w:r>
        <w:t xml:space="preserve">Legal Representative: Lic. María E. González</w:t>
      </w:r>
    </w:p>
    <w:p>
      <w:pPr>
        <w:pStyle w:val="BodyText"/>
      </w:pPr>
      <w:r>
        <w:t xml:space="preserve">Av. Corrientes 1520, Piso 12, Of. 1204</w:t>
      </w:r>
    </w:p>
    <w:p>
      <w:pPr>
        <w:pStyle w:val="BodyText"/>
      </w:pPr>
      <w:r>
        <w:t xml:space="preserve">C1043AAB, Buenos Aires, Argentina</w:t>
      </w:r>
    </w:p>
    <w:p>
      <w:pPr>
        <w:pStyle w:val="BodyText"/>
      </w:pPr>
      <w:r>
        <w:t xml:space="preserve">CUIT: 30-71234567-0</w:t>
      </w:r>
    </w:p>
    <w:p>
      <w:pPr>
        <w:pStyle w:val="BodyText"/>
      </w:pPr>
      <w:r>
        <w:t xml:space="preserve">File Reference: Expte. N° 2025-088341</w:t>
      </w:r>
    </w:p>
    <w:p>
      <w:pPr>
        <w:pStyle w:val="BodyText"/>
      </w:pPr>
      <w:r>
        <w:t xml:space="preserve">Case: Civil Dispute — Contractual Breach</w:t>
      </w:r>
    </w:p>
    <w:bookmarkEnd w:id="22"/>
    <w:bookmarkStart w:id="23" w:name="invoice-details"/>
    <w:p>
      <w:pPr>
        <w:pStyle w:val="Heading3"/>
      </w:pPr>
      <w:r>
        <w:t xml:space="preserve">Invoice Details</w:t>
      </w:r>
    </w:p>
    <w:p>
      <w:pPr>
        <w:pStyle w:val="FirstParagraph"/>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Currency:</w:t>
      </w:r>
      <w:r>
        <w:t xml:space="preserve"> </w:t>
      </w:r>
      <w:r>
        <w:t xml:space="preserve">Argentine Peso (ARS)</w:t>
      </w:r>
    </w:p>
    <w:p>
      <w:pPr>
        <w:pStyle w:val="BodyText"/>
      </w:pPr>
      <w:r>
        <w:rPr>
          <w:bCs/>
          <w:b/>
        </w:rPr>
        <w:t xml:space="preserve">Payment Method:</w:t>
      </w:r>
      <w:r>
        <w:t xml:space="preserve"> </w:t>
      </w:r>
      <w:r>
        <w:t xml:space="preserve">Bank Transfer / Cheque</w:t>
      </w:r>
    </w:p>
    <w:p>
      <w:pPr>
        <w:pStyle w:val="BodyText"/>
      </w:pPr>
      <w:r>
        <w:rPr>
          <w:bCs/>
          <w:b/>
        </w:rPr>
        <w:t xml:space="preserve">Bank:</w:t>
      </w:r>
      <w:r>
        <w:t xml:space="preserve"> </w:t>
      </w:r>
      <w:r>
        <w:t xml:space="preserve">Banco de la Nación Argentina</w:t>
      </w:r>
    </w:p>
    <w:p>
      <w:pPr>
        <w:pStyle w:val="BodyText"/>
      </w:pPr>
      <w:r>
        <w:rPr>
          <w:bCs/>
          <w:b/>
        </w:rPr>
        <w:t xml:space="preserve">Account:</w:t>
      </w:r>
      <w:r>
        <w:t xml:space="preserve"> </w:t>
      </w:r>
      <w:r>
        <w:t xml:space="preserve">011-0012345-6</w:t>
      </w:r>
    </w:p>
    <w:p>
      <w:pPr>
        <w:pStyle w:val="BodyText"/>
      </w:pPr>
      <w:r>
        <w:rPr>
          <w:bCs/>
          <w:b/>
        </w:rPr>
        <w:t xml:space="preserve">CBU:</w:t>
      </w:r>
      <w:r>
        <w:t xml:space="preserve"> </w:t>
      </w:r>
      <w:r>
        <w:t xml:space="preserve">0110012345678901234567</w:t>
      </w:r>
    </w:p>
    <w:bookmarkEnd w:id="23"/>
    <w:bookmarkStart w:id="24" w:name="jurisdiction-legal-framework"/>
    <w:p>
      <w:pPr>
        <w:pStyle w:val="Heading3"/>
      </w:pPr>
      <w:r>
        <w:t xml:space="preserve">Jurisdiction &amp; Legal Framework</w:t>
      </w:r>
    </w:p>
    <w:p>
      <w:pPr>
        <w:pStyle w:val="FirstParagraph"/>
      </w:pPr>
      <w:r>
        <w:rPr>
          <w:bCs/>
          <w:b/>
        </w:rPr>
        <w:t xml:space="preserve">Jurisdiction:</w:t>
      </w:r>
      <w:r>
        <w:t xml:space="preserve"> </w:t>
      </w:r>
      <w:r>
        <w:t xml:space="preserve">City of Buenos Aires, Argentina</w:t>
      </w:r>
    </w:p>
    <w:p>
      <w:pPr>
        <w:pStyle w:val="BodyText"/>
      </w:pPr>
      <w:r>
        <w:rPr>
          <w:bCs/>
          <w:b/>
        </w:rPr>
        <w:t xml:space="preserve">Governing Law:</w:t>
      </w:r>
      <w:r>
        <w:t xml:space="preserve"> </w:t>
      </w:r>
      <w:r>
        <w:t xml:space="preserve">Argentine Civil and Commercial Code (Ley 26994)</w:t>
      </w:r>
    </w:p>
    <w:p>
      <w:pPr>
        <w:pStyle w:val="BodyText"/>
      </w:pPr>
      <w:r>
        <w:rPr>
          <w:bCs/>
          <w:b/>
        </w:rPr>
        <w:t xml:space="preserve">Procedural Code:</w:t>
      </w:r>
      <w:r>
        <w:t xml:space="preserve"> </w:t>
      </w:r>
      <w:r>
        <w:t xml:space="preserve">Código Procesal Civil y Comercial de la Ciudad (Ley 14967)</w:t>
      </w:r>
    </w:p>
    <w:p>
      <w:pPr>
        <w:pStyle w:val="BodyText"/>
      </w:pPr>
      <w:r>
        <w:rPr>
          <w:bCs/>
          <w:b/>
        </w:rPr>
        <w:t xml:space="preserve">Tax Regime:</w:t>
      </w:r>
      <w:r>
        <w:t xml:space="preserve"> </w:t>
      </w:r>
      <w:r>
        <w:t xml:space="preserve">IVA 21% (Ley 23.349)</w:t>
      </w:r>
    </w:p>
    <w:p>
      <w:pPr>
        <w:pStyle w:val="BodyText"/>
      </w:pPr>
      <w:r>
        <w:rPr>
          <w:bCs/>
          <w:b/>
        </w:rPr>
        <w:t xml:space="preserve">Regulatory Body:</w:t>
      </w:r>
      <w:r>
        <w:t xml:space="preserve"> </w:t>
      </w:r>
      <w:r>
        <w:t xml:space="preserve">Poder Judicial de la Ciudad de Buenos Aires</w:t>
      </w:r>
    </w:p>
    <w:bookmarkEnd w:id="24"/>
    <w:bookmarkStart w:id="26" w:name="X5c900862c410cd2bf38b8de1bc4922a25552c74"/>
    <w:p>
      <w:pPr>
        <w:pStyle w:val="Heading2"/>
      </w:pPr>
      <w:r>
        <w:t xml:space="preserve">Description of Judicial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1</w:t>
            </w:r>
          </w:p>
        </w:tc>
        <w:tc>
          <w:tcPr/>
          <w:p>
            <w:pPr>
              <w:pStyle w:val="Compact"/>
              <w:jc w:val="left"/>
            </w:pPr>
            <w:r>
              <w:t xml:space="preserve">Initial hearing and oral argument session presided by Judge Fernández regarding contractual breach dispute between Compañía Industrial del Plata S.A. and Distribuidora Austral S.R.L. Conducted at the Buenos Aires Superior Court of Justice, Av. de los Incas 275.</w:t>
            </w:r>
          </w:p>
        </w:tc>
        <w:tc>
          <w:tcPr/>
          <w:p>
            <w:pPr>
              <w:pStyle w:val="Compact"/>
              <w:jc w:val="left"/>
            </w:pPr>
            <w:r>
              <w:t xml:space="preserve">03 Mar 2025</w:t>
            </w:r>
          </w:p>
        </w:tc>
        <w:tc>
          <w:tcPr/>
          <w:p>
            <w:pPr>
              <w:pStyle w:val="Compact"/>
              <w:jc w:val="left"/>
            </w:pPr>
            <w:r>
              <w:t xml:space="preserve">4.0</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Written judicial ruling (Sentencia Interlocutoria) on preliminary injunction motion filed by the plaintiff. The Judge reviewed 340 pages of documentary evidence, expert reports, and legal briefs submitted by both parties in the Buenos Aires jurisdiction.</w:t>
            </w:r>
          </w:p>
        </w:tc>
        <w:tc>
          <w:tcPr/>
          <w:p>
            <w:pPr>
              <w:pStyle w:val="Compact"/>
              <w:jc w:val="left"/>
            </w:pPr>
            <w:r>
              <w:t xml:space="preserve">18 Mar 2025</w:t>
            </w:r>
          </w:p>
        </w:tc>
        <w:tc>
          <w:tcPr/>
          <w:p>
            <w:pPr>
              <w:pStyle w:val="Compact"/>
              <w:jc w:val="left"/>
            </w:pPr>
            <w:r>
              <w:t xml:space="preserve">12.0</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Second evidentiary hearing with witness examination. The presiding Judge administered oaths to seven witnesses, directed cross-examination, and issued in-court orders regarding the admissibility of forensic accounting documents presented in the Buenos Aires courtroom.</w:t>
            </w:r>
          </w:p>
        </w:tc>
        <w:tc>
          <w:tcPr/>
          <w:p>
            <w:pPr>
              <w:pStyle w:val="Compact"/>
              <w:jc w:val="left"/>
            </w:pPr>
            <w:r>
              <w:t xml:space="preserve">02 Apr 2025</w:t>
            </w:r>
          </w:p>
        </w:tc>
        <w:tc>
          <w:tcPr/>
          <w:p>
            <w:pPr>
              <w:pStyle w:val="Compact"/>
              <w:jc w:val="left"/>
            </w:pPr>
            <w:r>
              <w:t xml:space="preserve">6.5</w:t>
            </w:r>
          </w:p>
        </w:tc>
        <w:tc>
          <w:tcPr/>
          <w:p>
            <w:pPr>
              <w:pStyle w:val="Compact"/>
              <w:jc w:val="left"/>
            </w:pPr>
            <w:r>
              <w:t xml:space="preserve">85,000.00</w:t>
            </w:r>
          </w:p>
        </w:tc>
        <w:tc>
          <w:tcPr/>
          <w:p>
            <w:pPr>
              <w:pStyle w:val="Compact"/>
              <w:jc w:val="left"/>
            </w:pPr>
            <w:r>
              <w:t xml:space="preserve">552,500.00</w:t>
            </w:r>
          </w:p>
        </w:tc>
      </w:tr>
      <w:tr>
        <w:tc>
          <w:tcPr/>
          <w:p>
            <w:pPr>
              <w:pStyle w:val="Compact"/>
              <w:jc w:val="left"/>
            </w:pPr>
            <w:r>
              <w:t xml:space="preserve">4</w:t>
            </w:r>
          </w:p>
        </w:tc>
        <w:tc>
          <w:tcPr/>
          <w:p>
            <w:pPr>
              <w:pStyle w:val="Compact"/>
              <w:jc w:val="left"/>
            </w:pPr>
            <w:r>
              <w:t xml:space="preserve">Mediation session facilitated by the Judge under Article 14 of the Buenos Aires Civil Procedure Code. The Judge attempted conciliation between the parties before proceeding to final judgment. Session held at the Judicial Mediation Center, Buenos Aires.</w:t>
            </w:r>
          </w:p>
        </w:tc>
        <w:tc>
          <w:tcPr/>
          <w:p>
            <w:pPr>
              <w:pStyle w:val="Compact"/>
              <w:jc w:val="left"/>
            </w:pPr>
            <w:r>
              <w:t xml:space="preserve">21 Apr 2025</w:t>
            </w:r>
          </w:p>
        </w:tc>
        <w:tc>
          <w:tcPr/>
          <w:p>
            <w:pPr>
              <w:pStyle w:val="Compact"/>
              <w:jc w:val="left"/>
            </w:pPr>
            <w:r>
              <w:t xml:space="preserve">3.0</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5</w:t>
            </w:r>
          </w:p>
        </w:tc>
        <w:tc>
          <w:tcPr/>
          <w:p>
            <w:pPr>
              <w:pStyle w:val="Compact"/>
              <w:jc w:val="left"/>
            </w:pPr>
            <w:r>
              <w:t xml:space="preserve">Final judgment (Sentencia Definitiva) drafting and issuance. The Judge authored a 127-page ruling determining liability, calculating damages in Argentine pesos, ordering specific performance, and establishing interest rates per the Buenos Aires Central Bank (BCRA) reference rate.</w:t>
            </w:r>
          </w:p>
        </w:tc>
        <w:tc>
          <w:tcPr/>
          <w:p>
            <w:pPr>
              <w:pStyle w:val="Compact"/>
              <w:jc w:val="left"/>
            </w:pPr>
            <w:r>
              <w:t xml:space="preserve">10 May 2025</w:t>
            </w:r>
          </w:p>
        </w:tc>
        <w:tc>
          <w:tcPr/>
          <w:p>
            <w:pPr>
              <w:pStyle w:val="Compact"/>
              <w:jc w:val="left"/>
            </w:pPr>
            <w:r>
              <w:t xml:space="preserve">18.0</w:t>
            </w:r>
          </w:p>
        </w:tc>
        <w:tc>
          <w:tcPr/>
          <w:p>
            <w:pPr>
              <w:pStyle w:val="Compact"/>
              <w:jc w:val="left"/>
            </w:pPr>
            <w:r>
              <w:t xml:space="preserve">85,000.00</w:t>
            </w:r>
          </w:p>
        </w:tc>
        <w:tc>
          <w:tcPr/>
          <w:p>
            <w:pPr>
              <w:pStyle w:val="Compact"/>
              <w:jc w:val="left"/>
            </w:pPr>
            <w:r>
              <w:t xml:space="preserve">1,530,000.00</w:t>
            </w:r>
          </w:p>
        </w:tc>
      </w:tr>
      <w:tr>
        <w:tc>
          <w:tcPr/>
          <w:p>
            <w:pPr>
              <w:pStyle w:val="Compact"/>
              <w:jc w:val="left"/>
            </w:pPr>
            <w:r>
              <w:t xml:space="preserve">6</w:t>
            </w:r>
          </w:p>
        </w:tc>
        <w:tc>
          <w:tcPr/>
          <w:p>
            <w:pPr>
              <w:pStyle w:val="Compact"/>
              <w:jc w:val="left"/>
            </w:pPr>
            <w:r>
              <w:t xml:space="preserve">Post-judgment enforcement proceedings. The Judge issued execution orders, authorized asset seizure measures, and supervised the judicial auction of commercial property located in the Palermo district of Buenos Aires, Argentina.</w:t>
            </w:r>
          </w:p>
        </w:tc>
        <w:tc>
          <w:tcPr/>
          <w:p>
            <w:pPr>
              <w:pStyle w:val="Compact"/>
              <w:jc w:val="left"/>
            </w:pPr>
            <w:r>
              <w:t xml:space="preserve">28 May 2025</w:t>
            </w:r>
          </w:p>
        </w:tc>
        <w:tc>
          <w:tcPr/>
          <w:p>
            <w:pPr>
              <w:pStyle w:val="Compact"/>
              <w:jc w:val="left"/>
            </w:pPr>
            <w:r>
              <w:t xml:space="preserve">5.5</w:t>
            </w:r>
          </w:p>
        </w:tc>
        <w:tc>
          <w:tcPr/>
          <w:p>
            <w:pPr>
              <w:pStyle w:val="Compact"/>
              <w:jc w:val="left"/>
            </w:pPr>
            <w:r>
              <w:t xml:space="preserve">85,000.00</w:t>
            </w:r>
          </w:p>
        </w:tc>
        <w:tc>
          <w:tcPr/>
          <w:p>
            <w:pPr>
              <w:pStyle w:val="Compact"/>
              <w:jc w:val="left"/>
            </w:pPr>
            <w:r>
              <w:t xml:space="preserve">467,500.00</w:t>
            </w:r>
          </w:p>
        </w:tc>
      </w:tr>
      <w:tr>
        <w:tc>
          <w:tcPr/>
          <w:p>
            <w:pPr>
              <w:pStyle w:val="Compact"/>
              <w:jc w:val="left"/>
            </w:pPr>
            <w:r>
              <w:t xml:space="preserve">7</w:t>
            </w:r>
          </w:p>
        </w:tc>
        <w:tc>
          <w:tcPr/>
          <w:p>
            <w:pPr>
              <w:pStyle w:val="Compact"/>
              <w:jc w:val="left"/>
            </w:pPr>
            <w:r>
              <w:t xml:space="preserve">Administrative closure of the judicial file. The Judge certified the final case record, ordered the transfer of documents to the Buenos Aires Judicial Archive, and issued the formal closure resolution (Resolución de Archivo) in accordance with Argentine procedural regulations.</w:t>
            </w:r>
          </w:p>
        </w:tc>
        <w:tc>
          <w:tcPr/>
          <w:p>
            <w:pPr>
              <w:pStyle w:val="Compact"/>
              <w:jc w:val="left"/>
            </w:pPr>
            <w:r>
              <w:t xml:space="preserve">05 Jun 2025</w:t>
            </w:r>
          </w:p>
        </w:tc>
        <w:tc>
          <w:tcPr/>
          <w:p>
            <w:pPr>
              <w:pStyle w:val="Compact"/>
              <w:jc w:val="left"/>
            </w:pPr>
            <w:r>
              <w:t xml:space="preserve">2.0</w:t>
            </w:r>
          </w:p>
        </w:tc>
        <w:tc>
          <w:tcPr/>
          <w:p>
            <w:pPr>
              <w:pStyle w:val="Compact"/>
              <w:jc w:val="left"/>
            </w:pPr>
            <w:r>
              <w:t xml:space="preserve">85,000.00</w:t>
            </w:r>
          </w:p>
        </w:tc>
        <w:tc>
          <w:tcPr/>
          <w:p>
            <w:pPr>
              <w:pStyle w:val="Compact"/>
              <w:jc w:val="left"/>
            </w:pPr>
            <w:r>
              <w:t xml:space="preserve">170,000.00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w:t>
            </w:r>
          </w:p>
        </w:tc>
        <w:tc>
          <w:tcPr/>
          <w:p>
            <w:pPr>
              <w:pStyle w:val="Compact"/>
              <w:jc w:val="right"/>
            </w:pPr>
            <w:r>
              <w:t xml:space="preserve">ARS 4,335,000.00</w:t>
            </w:r>
          </w:p>
        </w:tc>
      </w:tr>
      <w:tr>
        <w:tc>
          <w:tcPr/>
          <w:p>
            <w:pPr>
              <w:pStyle w:val="Compact"/>
              <w:jc w:val="left"/>
            </w:pPr>
            <w:r>
              <w:t xml:space="preserve">IVA (21% — Argentine Value Added Tax)</w:t>
            </w:r>
          </w:p>
        </w:tc>
        <w:tc>
          <w:tcPr/>
          <w:p>
            <w:pPr>
              <w:pStyle w:val="Compact"/>
              <w:jc w:val="right"/>
            </w:pPr>
            <w:r>
              <w:t xml:space="preserve">ARS 910,350.00</w:t>
            </w:r>
          </w:p>
        </w:tc>
      </w:tr>
      <w:tr>
        <w:tc>
          <w:tcPr/>
          <w:p>
            <w:pPr>
              <w:pStyle w:val="Compact"/>
              <w:jc w:val="left"/>
            </w:pPr>
            <w:r>
              <w:t xml:space="preserve">Perception Tax (Percepción de IVA — 10%)</w:t>
            </w:r>
          </w:p>
        </w:tc>
        <w:tc>
          <w:tcPr/>
          <w:p>
            <w:pPr>
              <w:pStyle w:val="Compact"/>
              <w:jc w:val="right"/>
            </w:pPr>
            <w:r>
              <w:t xml:space="preserve">ARS 433,500.00</w:t>
            </w:r>
          </w:p>
        </w:tc>
      </w:tr>
      <w:tr>
        <w:tc>
          <w:tcPr/>
          <w:p>
            <w:pPr>
              <w:pStyle w:val="Compact"/>
              <w:jc w:val="left"/>
            </w:pPr>
            <w:r>
              <w:t xml:space="preserve">Stamp Tax (Tasa de Timbraje — CABA)</w:t>
            </w:r>
          </w:p>
        </w:tc>
        <w:tc>
          <w:tcPr/>
          <w:p>
            <w:pPr>
              <w:pStyle w:val="Compact"/>
              <w:jc w:val="right"/>
            </w:pPr>
            <w:r>
              <w:t xml:space="preserve">ARS 12,855.00</w:t>
            </w:r>
          </w:p>
        </w:tc>
      </w:tr>
      <w:tr>
        <w:tc>
          <w:tcPr/>
          <w:p>
            <w:pPr>
              <w:pStyle w:val="Compact"/>
              <w:jc w:val="left"/>
            </w:pPr>
            <w:r>
              <w:t xml:space="preserve">TOTAL AMOUNT DUE</w:t>
            </w:r>
          </w:p>
        </w:tc>
        <w:tc>
          <w:tcPr/>
          <w:p>
            <w:pPr>
              <w:pStyle w:val="Compact"/>
              <w:jc w:val="right"/>
            </w:pPr>
            <w:r>
              <w:t xml:space="preserve">ARS 5,691,705.00</w:t>
            </w:r>
          </w:p>
        </w:tc>
      </w:tr>
    </w:tbl>
    <w:bookmarkStart w:id="25" w:name="terms-conditions-legal-notes"/>
    <w:p>
      <w:pPr>
        <w:pStyle w:val="Heading3"/>
      </w:pPr>
      <w:r>
        <w:t xml:space="preserve">Terms, Conditions &amp; Legal Notes</w:t>
      </w:r>
    </w:p>
    <w:p>
      <w:pPr>
        <w:numPr>
          <w:ilvl w:val="0"/>
          <w:numId w:val="1001"/>
        </w:numPr>
        <w:pStyle w:val="Compact"/>
      </w:pPr>
      <w:r>
        <w:t xml:space="preserve">This invoice is issued in accordance with the tax regulations of the Argentine Federal Administration of Public Revenues (AFIP) and the tax authority of the City of Buenos Aires (AGIP).</w:t>
      </w:r>
    </w:p>
    <w:p>
      <w:pPr>
        <w:numPr>
          <w:ilvl w:val="0"/>
          <w:numId w:val="1001"/>
        </w:numPr>
        <w:pStyle w:val="Compact"/>
      </w:pPr>
      <w:r>
        <w:t xml:space="preserve">All amounts are expressed in Argentine Pesos (ARS) and are subject to the exchange rate and inflation adjustments established by the Central Bank of the Argentine Republic (BCRA) as of the date of payment.</w:t>
      </w:r>
    </w:p>
    <w:p>
      <w:pPr>
        <w:numPr>
          <w:ilvl w:val="0"/>
          <w:numId w:val="1001"/>
        </w:numPr>
        <w:pStyle w:val="Compact"/>
      </w:pPr>
      <w:r>
        <w:t xml:space="preserve">Payment is due within thirty (30) calendar days from the date of issue. Late payments shall accrue interest at the rate established by the Buenos Aires Superior Court of Justice for judicial debts, plus a 10% penalty as per Argentine commercial law.</w:t>
      </w:r>
    </w:p>
    <w:p>
      <w:pPr>
        <w:numPr>
          <w:ilvl w:val="0"/>
          <w:numId w:val="1001"/>
        </w:numPr>
        <w:pStyle w:val="Compact"/>
      </w:pPr>
      <w:r>
        <w:t xml:space="preserve">This invoice constitutes a valid fiscal document (Comprobante Fiscal) under Argentine tax law. The CUIT of both parties is registered and verified with AFIP.</w:t>
      </w:r>
    </w:p>
    <w:p>
      <w:pPr>
        <w:numPr>
          <w:ilvl w:val="0"/>
          <w:numId w:val="1001"/>
        </w:numPr>
        <w:pStyle w:val="Compact"/>
      </w:pPr>
      <w:r>
        <w:t xml:space="preserve">The judicial services described herein were performed by the presiding Judge in the exercise of his constitutional and statutory functions within the jurisdiction of the City of Buenos Aires, Argentina. All proceedings were conducted in compliance with the Argentine Constitution, the Civil and Commercial Code, and the applicable procedural norms of the City of Buenos Aires.</w:t>
      </w:r>
    </w:p>
    <w:p>
      <w:pPr>
        <w:numPr>
          <w:ilvl w:val="0"/>
          <w:numId w:val="1001"/>
        </w:numPr>
        <w:pStyle w:val="Compact"/>
      </w:pPr>
      <w:r>
        <w:t xml:space="preserve">Any dispute arising from this invoice shall be subject to the exclusive jurisdiction of the courts of the City of Buenos Aires, Argentina, in accordance with Argentine law.</w:t>
      </w:r>
    </w:p>
    <w:p>
      <w:pPr>
        <w:numPr>
          <w:ilvl w:val="0"/>
          <w:numId w:val="1001"/>
        </w:numPr>
        <w:pStyle w:val="Compact"/>
      </w:pPr>
      <w:r>
        <w:t xml:space="preserve">This document is valid for a period of ninety (90) days from the date of issue. After this period, the invoice must be reissued with updated tax calculations.</w:t>
      </w:r>
    </w:p>
    <w:bookmarkEnd w:id="25"/>
    <w:p>
      <w:pPr>
        <w:pStyle w:val="FirstParagraph"/>
      </w:pPr>
      <w:r>
        <w:t xml:space="preserve">[ OFFICIAL SEAL — Poder Judicial de la Ciudad de Buenos Aires ]</w:t>
      </w:r>
    </w:p>
    <w:p>
      <w:pPr>
        <w:pStyle w:val="BodyText"/>
      </w:pPr>
      <w:r>
        <w:t xml:space="preserve">Signed: Hon. Dr. Alejandro R. Fernández — Judge, Civil and Commercial Chamber No. 7</w:t>
      </w:r>
    </w:p>
    <w:p>
      <w:pPr>
        <w:pStyle w:val="BodyText"/>
      </w:pPr>
      <w:r>
        <w:t xml:space="preserve">Digital Verification Code: BA-JUD-2025-04871-VERIFIED</w:t>
      </w:r>
    </w:p>
    <w:p>
      <w:pPr>
        <w:pStyle w:val="BodyText"/>
      </w:pPr>
      <w:r>
        <w:t xml:space="preserve">This Invoice was generated in the City of Buenos Aires, Argentina, on 15 June 2025.</w:t>
      </w:r>
    </w:p>
    <w:p>
      <w:pPr>
        <w:pStyle w:val="BodyText"/>
      </w:pPr>
      <w:r>
        <w:t xml:space="preserve">Document reference: Expte. N° 2025-088341 — Juzgado Civil y Comercial N° 7 — CABA</w:t>
      </w:r>
    </w:p>
    <w:p>
      <w:pPr>
        <w:pStyle w:val="BodyText"/>
      </w:pPr>
      <w:r>
        <w:t xml:space="preserve">For questions regarding this invoice, contact the Court Registry at Av. de los Incas 275, Buenos Aires, Argentina. Tel: +54 11 4321-5678</w:t>
      </w:r>
    </w:p>
    <w:p>
      <w:pPr>
        <w:pStyle w:val="BodyText"/>
      </w:pPr>
      <w:r>
        <w:t xml:space="preserve">— END OF INVOICE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Buenos Aires, Argentina</dc:title>
  <dc:creator/>
  <dc:language>en</dc:language>
  <cp:keywords/>
  <dcterms:created xsi:type="dcterms:W3CDTF">2026-10-10T07:32:43Z</dcterms:created>
  <dcterms:modified xsi:type="dcterms:W3CDTF">2026-10-10T07:32:43Z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