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invoice"/>
    <w:p>
      <w:pPr>
        <w:pStyle w:val="Heading1"/>
      </w:pPr>
      <w:r>
        <w:t xml:space="preserve">INVOICE</w:t>
      </w:r>
    </w:p>
    <w:p>
      <w:pPr>
        <w:pStyle w:val="FirstParagraph"/>
      </w:pPr>
      <w:r>
        <w:t xml:space="preserve">Official Invoice for Judicial Services Rendered in Australia Melbourne</w:t>
      </w:r>
    </w:p>
    <w:p>
      <w:pPr>
        <w:pStyle w:val="BodyText"/>
      </w:pPr>
      <w:r>
        <w:t xml:space="preserve">JUDICIAL SERVICES INVOICE</w:t>
      </w:r>
    </w:p>
    <w:bookmarkEnd w:id="20"/>
    <w:bookmarkStart w:id="21" w:name="issued-by-the-judge"/>
    <w:p>
      <w:pPr>
        <w:pStyle w:val="Heading3"/>
      </w:pPr>
      <w:r>
        <w:t xml:space="preserve">Issued By (The Judge)</w:t>
      </w:r>
    </w:p>
    <w:p>
      <w:pPr>
        <w:pStyle w:val="FirstParagraph"/>
      </w:pPr>
      <w:r>
        <w:rPr>
          <w:bCs/>
          <w:b/>
        </w:rPr>
        <w:t xml:space="preserve">The Honourable Judge A. R. Whitmore</w:t>
      </w:r>
    </w:p>
    <w:p>
      <w:pPr>
        <w:pStyle w:val="BodyText"/>
      </w:pPr>
      <w:r>
        <w:t xml:space="preserve">Senior Judicial Officer, Commercial Disputes Division</w:t>
      </w:r>
    </w:p>
    <w:p>
      <w:pPr>
        <w:pStyle w:val="BodyText"/>
      </w:pPr>
      <w:r>
        <w:t xml:space="preserve">Supreme Court of Victoria</w:t>
      </w:r>
    </w:p>
    <w:p>
      <w:pPr>
        <w:pStyle w:val="BodyText"/>
      </w:pPr>
      <w:r>
        <w:t xml:space="preserve">Level 12, 333 Collins Street</w:t>
      </w:r>
    </w:p>
    <w:p>
      <w:pPr>
        <w:pStyle w:val="BodyText"/>
      </w:pPr>
      <w:r>
        <w:t xml:space="preserve">Melbourne, Victoria 3000</w:t>
      </w:r>
    </w:p>
    <w:p>
      <w:pPr>
        <w:pStyle w:val="BodyText"/>
      </w:pPr>
      <w:r>
        <w:t xml:space="preserve">Australia</w:t>
      </w:r>
    </w:p>
    <w:p>
      <w:pPr>
        <w:pStyle w:val="BodyText"/>
      </w:pPr>
      <w:r>
        <w:t xml:space="preserve">Email: judicial.services@supremecourt.vic.gov.au</w:t>
      </w:r>
    </w:p>
    <w:p>
      <w:pPr>
        <w:pStyle w:val="BodyText"/>
      </w:pPr>
      <w:r>
        <w:t xml:space="preserve">ABN: 54 001 234 567</w:t>
      </w:r>
    </w:p>
    <w:bookmarkEnd w:id="21"/>
    <w:bookmarkStart w:id="22" w:name="billed-to-the-client"/>
    <w:p>
      <w:pPr>
        <w:pStyle w:val="Heading3"/>
      </w:pPr>
      <w:r>
        <w:t xml:space="preserve">Billed To (The Client)</w:t>
      </w:r>
    </w:p>
    <w:p>
      <w:pPr>
        <w:pStyle w:val="FirstParagraph"/>
      </w:pPr>
      <w:r>
        <w:rPr>
          <w:bCs/>
          <w:b/>
        </w:rPr>
        <w:t xml:space="preserve">Harbourline Pty Ltd</w:t>
      </w:r>
    </w:p>
    <w:p>
      <w:pPr>
        <w:pStyle w:val="BodyText"/>
      </w:pPr>
      <w:r>
        <w:t xml:space="preserve">Attn: Mr. David Chen, General Counsel</w:t>
      </w:r>
    </w:p>
    <w:p>
      <w:pPr>
        <w:pStyle w:val="BodyText"/>
      </w:pPr>
      <w:r>
        <w:t xml:space="preserve">Suite 4, Level 8, 120 Swanston Street</w:t>
      </w:r>
    </w:p>
    <w:p>
      <w:pPr>
        <w:pStyle w:val="BodyText"/>
      </w:pPr>
      <w:r>
        <w:t xml:space="preserve">Melbourne, Victoria 3000</w:t>
      </w:r>
    </w:p>
    <w:p>
      <w:pPr>
        <w:pStyle w:val="BodyText"/>
      </w:pPr>
      <w:r>
        <w:t xml:space="preserve">Australia</w:t>
      </w:r>
    </w:p>
    <w:p>
      <w:pPr>
        <w:pStyle w:val="BodyText"/>
      </w:pPr>
      <w:r>
        <w:t xml:space="preserve">ABN: 87 654 321 098</w:t>
      </w:r>
    </w:p>
    <w:p>
      <w:pPr>
        <w:pStyle w:val="BodyText"/>
      </w:pPr>
      <w:r>
        <w:t xml:space="preserve">Email: d.chen@harbourline.com.au</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JUD-MEL-2025-004782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 from issue)</w:t>
            </w:r>
          </w:p>
        </w:tc>
      </w:tr>
      <w:tr>
        <w:tc>
          <w:tcPr/>
          <w:p>
            <w:pPr>
              <w:pStyle w:val="Compact"/>
              <w:jc w:val="left"/>
            </w:pPr>
            <w:r>
              <w:t xml:space="preserve">Service Period:</w:t>
            </w:r>
          </w:p>
        </w:tc>
        <w:tc>
          <w:tcPr/>
          <w:p>
            <w:pPr>
              <w:pStyle w:val="Compact"/>
              <w:jc w:val="left"/>
            </w:pPr>
            <w:r>
              <w:t xml:space="preserve">1 March 2025 to 30 May 2025</w:t>
            </w:r>
          </w:p>
        </w:tc>
      </w:tr>
      <w:tr>
        <w:tc>
          <w:tcPr/>
          <w:p>
            <w:pPr>
              <w:pStyle w:val="Compact"/>
              <w:jc w:val="left"/>
            </w:pPr>
            <w:r>
              <w:t xml:space="preserve">Jurisdiction:</w:t>
            </w:r>
          </w:p>
        </w:tc>
        <w:tc>
          <w:tcPr/>
          <w:p>
            <w:pPr>
              <w:pStyle w:val="Compact"/>
              <w:jc w:val="left"/>
            </w:pPr>
            <w:r>
              <w:t xml:space="preserve">State of Victoria, Australia Melbourne</w:t>
            </w:r>
          </w:p>
        </w:tc>
      </w:tr>
      <w:tr>
        <w:tc>
          <w:tcPr/>
          <w:p>
            <w:pPr>
              <w:pStyle w:val="Compact"/>
              <w:jc w:val="left"/>
            </w:pPr>
            <w:r>
              <w:t xml:space="preserve">Reference Matter:</w:t>
            </w:r>
          </w:p>
        </w:tc>
        <w:tc>
          <w:tcPr/>
          <w:p>
            <w:pPr>
              <w:pStyle w:val="Compact"/>
              <w:jc w:val="left"/>
            </w:pPr>
            <w:r>
              <w:t xml:space="preserve">Case No. COM-2025-11847 (Commercial Arbitration)</w:t>
            </w:r>
          </w:p>
        </w:tc>
      </w:tr>
    </w:tbl>
    <w:bookmarkStart w:id="25"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Pre-trial judicial conference and case management hearing presided over by the Judge at the Supreme Court of Victoria, Melbourne. Includes review of pleadings, identification of key issues in dispute, and scheduling of subsequent proceedings.</w:t>
            </w:r>
          </w:p>
        </w:tc>
        <w:tc>
          <w:tcPr/>
          <w:p>
            <w:pPr>
              <w:pStyle w:val="Compact"/>
              <w:jc w:val="left"/>
            </w:pPr>
            <w:r>
              <w:t xml:space="preserve">05 Mar 2025</w:t>
            </w:r>
          </w:p>
        </w:tc>
        <w:tc>
          <w:tcPr/>
          <w:p>
            <w:pPr>
              <w:pStyle w:val="Compact"/>
              <w:jc w:val="left"/>
            </w:pPr>
            <w:r>
              <w:t xml:space="preserve">6.0</w:t>
            </w:r>
          </w:p>
        </w:tc>
        <w:tc>
          <w:tcPr/>
          <w:p>
            <w:pPr>
              <w:pStyle w:val="Compact"/>
              <w:jc w:val="left"/>
            </w:pPr>
            <w:r>
              <w:t xml:space="preserve">$485.00</w:t>
            </w:r>
          </w:p>
        </w:tc>
        <w:tc>
          <w:tcPr/>
          <w:p>
            <w:pPr>
              <w:pStyle w:val="Compact"/>
              <w:jc w:val="left"/>
            </w:pPr>
            <w:r>
              <w:t xml:space="preserve">$2,910.00</w:t>
            </w:r>
          </w:p>
        </w:tc>
      </w:tr>
      <w:tr>
        <w:tc>
          <w:tcPr/>
          <w:p>
            <w:pPr>
              <w:pStyle w:val="Compact"/>
              <w:jc w:val="left"/>
            </w:pPr>
            <w:r>
              <w:t xml:space="preserve">2</w:t>
            </w:r>
          </w:p>
        </w:tc>
        <w:tc>
          <w:tcPr/>
          <w:p>
            <w:pPr>
              <w:pStyle w:val="Compact"/>
              <w:jc w:val="left"/>
            </w:pPr>
            <w:r>
              <w:t xml:space="preserve">Mediation session facilitated by the Judge under the Victorian Civil and Administrative Tribunal (VCAT) mediation framework. The Judge acted as neutral mediator between the parties to resolve the commercial contract dispute in Australia Melbourne.</w:t>
            </w:r>
          </w:p>
        </w:tc>
        <w:tc>
          <w:tcPr/>
          <w:p>
            <w:pPr>
              <w:pStyle w:val="Compact"/>
              <w:jc w:val="left"/>
            </w:pPr>
            <w:r>
              <w:t xml:space="preserve">12 Mar 2025</w:t>
            </w:r>
          </w:p>
        </w:tc>
        <w:tc>
          <w:tcPr/>
          <w:p>
            <w:pPr>
              <w:pStyle w:val="Compact"/>
              <w:jc w:val="left"/>
            </w:pPr>
            <w:r>
              <w:t xml:space="preserve">4.5</w:t>
            </w:r>
          </w:p>
        </w:tc>
        <w:tc>
          <w:tcPr/>
          <w:p>
            <w:pPr>
              <w:pStyle w:val="Compact"/>
              <w:jc w:val="left"/>
            </w:pPr>
            <w:r>
              <w:t xml:space="preserve">$485.00</w:t>
            </w:r>
          </w:p>
        </w:tc>
        <w:tc>
          <w:tcPr/>
          <w:p>
            <w:pPr>
              <w:pStyle w:val="Compact"/>
              <w:jc w:val="left"/>
            </w:pPr>
            <w:r>
              <w:t xml:space="preserve">$2,182.50</w:t>
            </w:r>
          </w:p>
        </w:tc>
      </w:tr>
      <w:tr>
        <w:tc>
          <w:tcPr/>
          <w:p>
            <w:pPr>
              <w:pStyle w:val="Compact"/>
              <w:jc w:val="left"/>
            </w:pPr>
            <w:r>
              <w:t xml:space="preserve">3</w:t>
            </w:r>
          </w:p>
        </w:tc>
        <w:tc>
          <w:tcPr/>
          <w:p>
            <w:pPr>
              <w:pStyle w:val="Compact"/>
              <w:jc w:val="left"/>
            </w:pPr>
            <w:r>
              <w:t xml:space="preserve">Written judicial determination and reasons for judgment on the interim injunction application. The Judge prepared and delivered a 42-page written ruling addressing the merits of the application, the balance of convenience, and the adequacy of damages as a remedy.</w:t>
            </w:r>
          </w:p>
        </w:tc>
        <w:tc>
          <w:tcPr/>
          <w:p>
            <w:pPr>
              <w:pStyle w:val="Compact"/>
              <w:jc w:val="left"/>
            </w:pPr>
            <w:r>
              <w:t xml:space="preserve">28 Mar 2025</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4</w:t>
            </w:r>
          </w:p>
        </w:tc>
        <w:tc>
          <w:tcPr/>
          <w:p>
            <w:pPr>
              <w:pStyle w:val="Compact"/>
              <w:jc w:val="left"/>
            </w:pPr>
            <w:r>
              <w:t xml:space="preserve">Full trial hearing (Days 1–5) presided over by the Judge. The Judge managed the presentation of evidence, examination and cross-examination of witnesses, and directed the jury on applicable law under the Victorian Evidence Act 2008.</w:t>
            </w:r>
          </w:p>
        </w:tc>
        <w:tc>
          <w:tcPr/>
          <w:p>
            <w:pPr>
              <w:pStyle w:val="Compact"/>
              <w:jc w:val="left"/>
            </w:pPr>
            <w:r>
              <w:t xml:space="preserve">07–11 Apr 2025</w:t>
            </w:r>
          </w:p>
        </w:tc>
        <w:tc>
          <w:tcPr/>
          <w:p>
            <w:pPr>
              <w:pStyle w:val="Compact"/>
              <w:jc w:val="left"/>
            </w:pPr>
            <w:r>
              <w:t xml:space="preserve">40.0</w:t>
            </w:r>
          </w:p>
        </w:tc>
        <w:tc>
          <w:tcPr/>
          <w:p>
            <w:pPr>
              <w:pStyle w:val="Compact"/>
              <w:jc w:val="left"/>
            </w:pPr>
            <w:r>
              <w:t xml:space="preserve">$485.00</w:t>
            </w:r>
          </w:p>
        </w:tc>
        <w:tc>
          <w:tcPr/>
          <w:p>
            <w:pPr>
              <w:pStyle w:val="Compact"/>
              <w:jc w:val="left"/>
            </w:pPr>
            <w:r>
              <w:t xml:space="preserve">$19,400.00</w:t>
            </w:r>
          </w:p>
        </w:tc>
      </w:tr>
      <w:tr>
        <w:tc>
          <w:tcPr/>
          <w:p>
            <w:pPr>
              <w:pStyle w:val="Compact"/>
              <w:jc w:val="left"/>
            </w:pPr>
            <w:r>
              <w:t xml:space="preserve">5</w:t>
            </w:r>
          </w:p>
        </w:tc>
        <w:tc>
          <w:tcPr/>
          <w:p>
            <w:pPr>
              <w:pStyle w:val="Compact"/>
              <w:jc w:val="left"/>
            </w:pPr>
            <w:r>
              <w:t xml:space="preserve">Post-trial written judgment and comprehensive reasons for decision. The Judge authored a 68-page judgment setting out findings of fact, application of law, and the final order of the court, including costs determination under the Supreme Court (General) Rules 2015 (Vic).</w:t>
            </w:r>
          </w:p>
        </w:tc>
        <w:tc>
          <w:tcPr/>
          <w:p>
            <w:pPr>
              <w:pStyle w:val="Compact"/>
              <w:jc w:val="left"/>
            </w:pPr>
            <w:r>
              <w:t xml:space="preserve">22 Apr 2025</w:t>
            </w:r>
          </w:p>
        </w:tc>
        <w:tc>
          <w:tcPr/>
          <w:p>
            <w:pPr>
              <w:pStyle w:val="Compact"/>
              <w:jc w:val="left"/>
            </w:pPr>
            <w:r>
              <w:t xml:space="preserve">16.0</w:t>
            </w:r>
          </w:p>
        </w:tc>
        <w:tc>
          <w:tcPr/>
          <w:p>
            <w:pPr>
              <w:pStyle w:val="Compact"/>
              <w:jc w:val="left"/>
            </w:pPr>
            <w:r>
              <w:t xml:space="preserve">$485.00</w:t>
            </w:r>
          </w:p>
        </w:tc>
        <w:tc>
          <w:tcPr/>
          <w:p>
            <w:pPr>
              <w:pStyle w:val="Compact"/>
              <w:jc w:val="left"/>
            </w:pPr>
            <w:r>
              <w:t xml:space="preserve">$7,760.00</w:t>
            </w:r>
          </w:p>
        </w:tc>
      </w:tr>
      <w:tr>
        <w:tc>
          <w:tcPr/>
          <w:p>
            <w:pPr>
              <w:pStyle w:val="Compact"/>
              <w:jc w:val="left"/>
            </w:pPr>
            <w:r>
              <w:t xml:space="preserve">6</w:t>
            </w:r>
          </w:p>
        </w:tc>
        <w:tc>
          <w:tcPr/>
          <w:p>
            <w:pPr>
              <w:pStyle w:val="Compact"/>
              <w:jc w:val="left"/>
            </w:pPr>
            <w:r>
              <w:t xml:space="preserve">Enforcement hearing and compliance review. The Judge conducted a hearing to address the respondent's non-compliance with the court order and issued a further enforcement order with penalty provisions under the Supreme Court Act 1986 (Vic).</w:t>
            </w:r>
          </w:p>
        </w:tc>
        <w:tc>
          <w:tcPr/>
          <w:p>
            <w:pPr>
              <w:pStyle w:val="Compact"/>
              <w:jc w:val="left"/>
            </w:pPr>
            <w:r>
              <w:t xml:space="preserve">09 May 2025</w:t>
            </w:r>
          </w:p>
        </w:tc>
        <w:tc>
          <w:tcPr/>
          <w:p>
            <w:pPr>
              <w:pStyle w:val="Compact"/>
              <w:jc w:val="left"/>
            </w:pPr>
            <w:r>
              <w:t xml:space="preserve">3.0</w:t>
            </w:r>
          </w:p>
        </w:tc>
        <w:tc>
          <w:tcPr/>
          <w:p>
            <w:pPr>
              <w:pStyle w:val="Compact"/>
              <w:jc w:val="left"/>
            </w:pPr>
            <w:r>
              <w:t xml:space="preserve">$485.00</w:t>
            </w:r>
          </w:p>
        </w:tc>
        <w:tc>
          <w:tcPr/>
          <w:p>
            <w:pPr>
              <w:pStyle w:val="Compact"/>
              <w:jc w:val="left"/>
            </w:pPr>
            <w:r>
              <w:t xml:space="preserve">$1,455.00</w:t>
            </w:r>
          </w:p>
        </w:tc>
      </w:tr>
      <w:tr>
        <w:tc>
          <w:tcPr/>
          <w:p>
            <w:pPr>
              <w:pStyle w:val="Compact"/>
              <w:jc w:val="left"/>
            </w:pPr>
            <w:r>
              <w:t xml:space="preserve">7</w:t>
            </w:r>
          </w:p>
        </w:tc>
        <w:tc>
          <w:tcPr/>
          <w:p>
            <w:pPr>
              <w:pStyle w:val="Compact"/>
              <w:jc w:val="left"/>
            </w:pPr>
            <w:r>
              <w:t xml:space="preserve">Administrative and case management duties. Includes preparation of court files, correspondence with registry staff, scheduling of adjournments, and coordination with the court clerk's office in Australia Melbourne.</w:t>
            </w:r>
          </w:p>
        </w:tc>
        <w:tc>
          <w:tcPr/>
          <w:p>
            <w:pPr>
              <w:pStyle w:val="Compact"/>
              <w:jc w:val="left"/>
            </w:pPr>
            <w:r>
              <w:t xml:space="preserve">Various</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$42,087.50</w:t>
            </w:r>
          </w:p>
        </w:tc>
      </w:tr>
      <w:tr>
        <w:tc>
          <w:tcPr/>
          <w:p>
            <w:pPr>
              <w:pStyle w:val="Compact"/>
              <w:jc w:val="left"/>
            </w:pPr>
            <w:r>
              <w:t xml:space="preserve">GST (10%)</w:t>
            </w:r>
          </w:p>
        </w:tc>
        <w:tc>
          <w:tcPr/>
          <w:p>
            <w:pPr>
              <w:pStyle w:val="Compact"/>
              <w:jc w:val="left"/>
            </w:pPr>
            <w:r>
              <w:t xml:space="preserve">$4,208.75</w:t>
            </w:r>
          </w:p>
        </w:tc>
      </w:tr>
      <w:tr>
        <w:tc>
          <w:tcPr/>
          <w:p>
            <w:pPr>
              <w:pStyle w:val="Compact"/>
              <w:jc w:val="left"/>
            </w:pPr>
            <w:r>
              <w:t xml:space="preserve">Court Filing &amp; Registry Fees</w:t>
            </w:r>
          </w:p>
        </w:tc>
        <w:tc>
          <w:tcPr/>
          <w:p>
            <w:pPr>
              <w:pStyle w:val="Compact"/>
              <w:jc w:val="left"/>
            </w:pPr>
            <w:r>
              <w:t xml:space="preserve">$1,245.00</w:t>
            </w:r>
          </w:p>
        </w:tc>
      </w:tr>
      <w:tr>
        <w:tc>
          <w:tcPr/>
          <w:p>
            <w:pPr>
              <w:pStyle w:val="Compact"/>
              <w:jc w:val="left"/>
            </w:pPr>
            <w:r>
              <w:t xml:space="preserve">Transcript &amp; Documentation Costs</w:t>
            </w:r>
          </w:p>
        </w:tc>
        <w:tc>
          <w:tcPr/>
          <w:p>
            <w:pPr>
              <w:pStyle w:val="Compact"/>
              <w:jc w:val="left"/>
            </w:pPr>
            <w:r>
              <w:t xml:space="preserve">$890.00</w:t>
            </w:r>
          </w:p>
        </w:tc>
      </w:tr>
      <w:tr>
        <w:tc>
          <w:tcPr/>
          <w:p>
            <w:pPr>
              <w:pStyle w:val="Compact"/>
              <w:jc w:val="left"/>
            </w:pPr>
            <w:r>
              <w:t xml:space="preserve">TOTAL AMOUNT DUE (AUD)</w:t>
            </w:r>
          </w:p>
        </w:tc>
        <w:tc>
          <w:tcPr/>
          <w:p>
            <w:pPr>
              <w:pStyle w:val="Compact"/>
              <w:jc w:val="left"/>
            </w:pPr>
            <w:r>
              <w:t xml:space="preserve">$48,431.25</w:t>
            </w:r>
          </w:p>
        </w:tc>
      </w:tr>
    </w:tbl>
    <w:bookmarkStart w:id="23" w:name="payment-instructions"/>
    <w:p>
      <w:pPr>
        <w:pStyle w:val="Heading3"/>
      </w:pPr>
      <w:r>
        <w:t xml:space="preserve">Payment Instructions</w:t>
      </w:r>
    </w:p>
    <w:p>
      <w:pPr>
        <w:pStyle w:val="FirstParagraph"/>
      </w:pPr>
      <w:r>
        <w:t xml:space="preserve">This Invoice must be settled in full within thirty (30) calendar days of the date of issue, in accordance with the Victorian Civil and Administrative Tribunal (VCAT) cost recovery guidelines and the Supreme Court (General) Rules 2015 (Vic).</w:t>
      </w:r>
    </w:p>
    <w:p>
      <w:pPr>
        <w:pStyle w:val="BodyText"/>
      </w:pPr>
      <w:r>
        <w:rPr>
          <w:bCs/>
          <w:b/>
        </w:rPr>
        <w:t xml:space="preserve">Bank Transfer (Preferred):</w:t>
      </w:r>
    </w:p>
    <w:p>
      <w:pPr>
        <w:pStyle w:val="BodyText"/>
      </w:pPr>
      <w:r>
        <w:t xml:space="preserve">Bank: National Australia Bank (NAB)</w:t>
      </w:r>
    </w:p>
    <w:p>
      <w:pPr>
        <w:pStyle w:val="BodyText"/>
      </w:pPr>
      <w:r>
        <w:t xml:space="preserve">BSB: 012-001</w:t>
      </w:r>
    </w:p>
    <w:p>
      <w:pPr>
        <w:pStyle w:val="BodyText"/>
      </w:pPr>
      <w:r>
        <w:t xml:space="preserve">Account Number: 1234 5678</w:t>
      </w:r>
    </w:p>
    <w:p>
      <w:pPr>
        <w:pStyle w:val="BodyText"/>
      </w:pPr>
      <w:r>
        <w:t xml:space="preserve">Account Name: Supreme Court of Victoria – Judicial Services Account</w:t>
      </w:r>
    </w:p>
    <w:p>
      <w:pPr>
        <w:pStyle w:val="BodyText"/>
      </w:pPr>
      <w:r>
        <w:t xml:space="preserve">Reference: JUD-MEL-2025-004782</w:t>
      </w:r>
    </w:p>
    <w:p>
      <w:pPr>
        <w:pStyle w:val="BodyText"/>
      </w:pPr>
      <w:r>
        <w:rPr>
          <w:bCs/>
          <w:b/>
        </w:rPr>
        <w:t xml:space="preserve">Important:</w:t>
      </w:r>
      <w:r>
        <w:t xml:space="preserve"> </w:t>
      </w:r>
      <w:r>
        <w:t xml:space="preserve">Please quote the Invoice number in all correspondence and remittances. Failure to include the reference may result in delayed processing of this payment against the relevant judicial matter.</w:t>
      </w:r>
    </w:p>
    <w:bookmarkEnd w:id="23"/>
    <w:bookmarkStart w:id="24" w:name="notes-and-terms-of-this-invoice"/>
    <w:p>
      <w:pPr>
        <w:pStyle w:val="Heading3"/>
      </w:pPr>
      <w:r>
        <w:t xml:space="preserve">Notes and Terms of This Invoice</w:t>
      </w:r>
    </w:p>
    <w:p>
      <w:pPr>
        <w:numPr>
          <w:ilvl w:val="0"/>
          <w:numId w:val="1001"/>
        </w:numPr>
        <w:pStyle w:val="Compact"/>
      </w:pPr>
      <w:r>
        <w:t xml:space="preserve">This Invoice has been issued in accordance with the Taxation Administration Act 1953 (Cth) and the Australian Goods and Services Tax (GST) legislation. The Judge's office is registered for GST purposes in Australia Melbourne.</w:t>
      </w:r>
    </w:p>
    <w:p>
      <w:pPr>
        <w:numPr>
          <w:ilvl w:val="0"/>
          <w:numId w:val="1001"/>
        </w:numPr>
        <w:pStyle w:val="Compact"/>
      </w:pPr>
      <w:r>
        <w:t xml:space="preserve">All rates quoted are in Australian Dollars (AUD) and are inclusive of the applicable 10% Goods and Services Tax as mandated by the Australian Taxation Office (ATO).</w:t>
      </w:r>
    </w:p>
    <w:p>
      <w:pPr>
        <w:numPr>
          <w:ilvl w:val="0"/>
          <w:numId w:val="1001"/>
        </w:numPr>
        <w:pStyle w:val="Compact"/>
      </w:pPr>
      <w:r>
        <w:t xml:space="preserve">The Judge's services were rendered in the capacity of a judicial officer of the Supreme Court of Victoria, seated in Melbourne, Australia. All proceedings were conducted in accordance with the Victorian legal framework and the rules of natural justice.</w:t>
      </w:r>
    </w:p>
    <w:p>
      <w:pPr>
        <w:numPr>
          <w:ilvl w:val="0"/>
          <w:numId w:val="1001"/>
        </w:numPr>
        <w:pStyle w:val="Compact"/>
      </w:pPr>
      <w:r>
        <w:t xml:space="preserve">Any dispute regarding the amounts stated in this Invoice may be referred to the court registry for review. The client is advised to contact the court clerk's office at the Supreme Court of Victoria, 333 Collins Street, Melbourne, VIC 3000, Australia, within fourteen (14) days of receipt of this Invoice to raise any queries.</w:t>
      </w:r>
    </w:p>
    <w:p>
      <w:pPr>
        <w:numPr>
          <w:ilvl w:val="0"/>
          <w:numId w:val="1001"/>
        </w:numPr>
        <w:pStyle w:val="Compact"/>
      </w:pPr>
      <w:r>
        <w:t xml:space="preserve">Overdue amounts on this Invoice may attract interest at the rate prescribed under the Civil Procedure Act 2010 (Vic), calculated from the due date until the date of full payment.</w:t>
      </w:r>
    </w:p>
    <w:p>
      <w:pPr>
        <w:numPr>
          <w:ilvl w:val="0"/>
          <w:numId w:val="1001"/>
        </w:numPr>
        <w:pStyle w:val="Compact"/>
      </w:pPr>
      <w:r>
        <w:t xml:space="preserve">This Invoice constitutes a formal record of the judicial services provided by the Judge during the specified service period. It should be retained by the client for their financial records and for any future cost recovery proceedings.</w:t>
      </w:r>
    </w:p>
    <w:p>
      <w:pPr>
        <w:numPr>
          <w:ilvl w:val="0"/>
          <w:numId w:val="1001"/>
        </w:numPr>
        <w:pStyle w:val="Compact"/>
      </w:pPr>
      <w:r>
        <w:t xml:space="preserve">The Judge's office reserves the right to issue a corrected Invoice should any clerical errors be identified. Any such correction will be communicated in writing to the client's registered address in Australia Melbourne.</w:t>
      </w:r>
    </w:p>
    <w:bookmarkEnd w:id="24"/>
    <w:p>
      <w:pPr>
        <w:pStyle w:val="FirstParagraph"/>
      </w:pPr>
      <w:r>
        <w:rPr>
          <w:bCs/>
          <w:b/>
        </w:rPr>
        <w:t xml:space="preserve">THE HONOURABLE JUDGE A. R. WHITMORE</w:t>
      </w:r>
    </w:p>
    <w:p>
      <w:pPr>
        <w:pStyle w:val="BodyText"/>
      </w:pPr>
      <w:r>
        <w:t xml:space="preserve">Supreme Court of Victoria | Melbourne, Australia</w:t>
      </w:r>
    </w:p>
    <w:p>
      <w:pPr>
        <w:pStyle w:val="BodyText"/>
      </w:pPr>
      <w:r>
        <w:t xml:space="preserve">Level 12, 333 Collins Street, Melbourne VIC 3000, Australia</w:t>
      </w:r>
    </w:p>
    <w:p>
      <w:pPr>
        <w:pStyle w:val="BodyText"/>
      </w:pPr>
      <w:r>
        <w:t xml:space="preserve">ABN: 54 001 234 567 | Phone: +61 3 9600 6000</w:t>
      </w:r>
    </w:p>
    <w:p>
      <w:pPr>
        <w:pStyle w:val="BodyText"/>
      </w:pPr>
      <w:r>
        <w:t xml:space="preserve">This Invoice was generated electronically and is valid without a physical signature. For verification, contact the court registry at the address above.</w:t>
      </w:r>
    </w:p>
    <w:p>
      <w:pPr>
        <w:pStyle w:val="BodyText"/>
      </w:pPr>
      <w:r>
        <w:t xml:space="preserve">© 2025 Supreme Court of Victoria – Judicial Services Division, Australia Melbourne.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Australia Melbourne</dc:title>
  <dc:creator/>
  <dc:language>en</dc:language>
  <cp:keywords/>
  <dcterms:created xsi:type="dcterms:W3CDTF">2026-10-10T09:06:49Z</dcterms:created>
  <dcterms:modified xsi:type="dcterms:W3CDTF">2026-10-10T09:06:49Z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