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Advisory</w:t>
      </w:r>
      <w:r>
        <w:t xml:space="preserve"> </w:t>
      </w:r>
      <w:r>
        <w:t xml:space="preserve">GmbH</w:t>
      </w:r>
      <w:r>
        <w:t xml:space="preserve"> </w:t>
      </w:r>
      <w:r>
        <w:t xml:space="preserve">-</w:t>
      </w:r>
      <w:r>
        <w:t xml:space="preserve"> </w:t>
      </w:r>
      <w:r>
        <w:t xml:space="preserve">Berlin,</w:t>
      </w:r>
      <w:r>
        <w:t xml:space="preserve"> </w:t>
      </w:r>
      <w:r>
        <w:t xml:space="preserve">Germany</w:t>
      </w:r>
    </w:p>
    <w:bookmarkStart w:id="20" w:name="judge-legal-advisory-gmbh"/>
    <w:p>
      <w:pPr>
        <w:pStyle w:val="Heading1"/>
      </w:pPr>
      <w:r>
        <w:t xml:space="preserve">Judge Legal Advisory GmbH</w:t>
      </w:r>
    </w:p>
    <w:p>
      <w:pPr>
        <w:pStyle w:val="FirstParagraph"/>
      </w:pPr>
      <w:r>
        <w:t xml:space="preserve">Unter den Linden 42, 10117 Berlin, Germany</w:t>
      </w:r>
    </w:p>
    <w:p>
      <w:pPr>
        <w:pStyle w:val="BodyText"/>
      </w:pPr>
      <w:r>
        <w:t xml:space="preserve">Phone: +49 (0)30 555 78 200</w:t>
      </w:r>
    </w:p>
    <w:p>
      <w:pPr>
        <w:pStyle w:val="BodyText"/>
      </w:pPr>
      <w:r>
        <w:t xml:space="preserve">Email: billing@judge-legal-advisory.de</w:t>
      </w:r>
    </w:p>
    <w:p>
      <w:pPr>
        <w:pStyle w:val="BodyText"/>
      </w:pPr>
      <w:r>
        <w:t xml:space="preserve">USt-IdNr.: DE 318 456 721</w:t>
      </w:r>
    </w:p>
    <w:p>
      <w:pPr>
        <w:pStyle w:val="BodyText"/>
      </w:pPr>
      <w:r>
        <w:t xml:space="preserve">HRB 184 523 B, Amtsgericht Berlin-Charlottenburg</w:t>
      </w:r>
    </w:p>
    <w:bookmarkEnd w:id="20"/>
    <w:bookmarkStart w:id="21" w:name="invoice"/>
    <w:p>
      <w:pPr>
        <w:pStyle w:val="Heading2"/>
      </w:pPr>
      <w:r>
        <w:t xml:space="preserve">INVOICE</w:t>
      </w:r>
    </w:p>
    <w:p>
      <w:pPr>
        <w:pStyle w:val="FirstParagraph"/>
      </w:pPr>
      <w:r>
        <w:t xml:space="preserve">Rechnung / Invoice</w:t>
      </w:r>
    </w:p>
    <w:p>
      <w:pPr>
        <w:pStyle w:val="BodyText"/>
      </w:pPr>
      <w:r>
        <w:t xml:space="preserve">Invoice No.: JLA-2025-00487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Meridian Corporate Holdings AG</w:t>
      </w:r>
    </w:p>
    <w:p>
      <w:pPr>
        <w:pStyle w:val="BodyText"/>
      </w:pPr>
      <w:r>
        <w:t xml:space="preserve">Attn: Dr. Katharina Vogel, Chief Legal Officer</w:t>
      </w:r>
    </w:p>
    <w:p>
      <w:pPr>
        <w:pStyle w:val="BodyText"/>
      </w:pPr>
      <w:r>
        <w:t xml:space="preserve">Frankfurter Allee 118, 10247 Berlin, Germany</w:t>
      </w:r>
    </w:p>
    <w:p>
      <w:pPr>
        <w:pStyle w:val="BodyText"/>
      </w:pPr>
      <w:r>
        <w:t xml:space="preserve">VAT ID: DE 294 112 850</w:t>
      </w:r>
    </w:p>
    <w:bookmarkEnd w:id="22"/>
    <w:bookmarkStart w:id="23" w:name="invoice-reference"/>
    <w:p>
      <w:pPr>
        <w:pStyle w:val="Heading3"/>
      </w:pPr>
      <w:r>
        <w:t xml:space="preserve">Invoice Reference</w:t>
      </w:r>
    </w:p>
    <w:p>
      <w:pPr>
        <w:pStyle w:val="FirstParagraph"/>
      </w:pPr>
      <w:r>
        <w:t xml:space="preserve">Contract Ref: JLA/2025/BER/0091</w:t>
      </w:r>
    </w:p>
    <w:p>
      <w:pPr>
        <w:pStyle w:val="BodyText"/>
      </w:pPr>
      <w:r>
        <w:t xml:space="preserve">Service Period: 01 April 2025 – 31 May 2025</w:t>
      </w:r>
    </w:p>
    <w:p>
      <w:pPr>
        <w:pStyle w:val="BodyText"/>
      </w:pPr>
      <w:r>
        <w:t xml:space="preserve">Project: Judicial Compliance &amp; Regulatory Advisory</w:t>
      </w:r>
    </w:p>
    <w:p>
      <w:pPr>
        <w:pStyle w:val="BodyText"/>
      </w:pPr>
      <w:r>
        <w:t xml:space="preserve">Responsible Partner: Judge Dr. Heinrich Albrecht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judicial advisory consultation regarding pending commercial litigation before the Landgericht Berlin. Includes preparation of legal memoranda, analysis of applicable German civil procedure law (ZPO), and strategic counsel to the board of directors of Meridian Corporate Holdings AG.</w:t>
            </w:r>
          </w:p>
        </w:tc>
        <w:tc>
          <w:tcPr/>
          <w:p>
            <w:pPr>
              <w:pStyle w:val="Compact"/>
              <w:jc w:val="left"/>
            </w:pPr>
            <w:r>
              <w:t xml:space="preserve">32 hours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Representation and advocacy support in connection with the Judge's chamber proceedings at the Kammergericht Berlin. This encompasses drafting of written submissions, attendance at two oral hearings, and post-hearing debriefing sessions with the client's executive team.</w:t>
            </w:r>
          </w:p>
        </w:tc>
        <w:tc>
          <w:tcPr/>
          <w:p>
            <w:pPr>
              <w:pStyle w:val="Compact"/>
              <w:jc w:val="left"/>
            </w:pPr>
            <w:r>
              <w:t xml:space="preserve">18 hours</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3</w:t>
            </w:r>
          </w:p>
        </w:tc>
        <w:tc>
          <w:tcPr/>
          <w:p>
            <w:pPr>
              <w:pStyle w:val="Compact"/>
              <w:jc w:val="left"/>
            </w:pPr>
            <w:r>
              <w:t xml:space="preserve">Regulatory compliance review aligned with the German Federal Court Constitution Act (GVO) and applicable EU directives. The Judge Legal Advisory team conducted a full audit of the client's internal dispute resolution mechanisms to ensure alignment with current judicial standards in Germany Berlin.</w:t>
            </w:r>
          </w:p>
        </w:tc>
        <w:tc>
          <w:tcPr/>
          <w:p>
            <w:pPr>
              <w:pStyle w:val="Compact"/>
              <w:jc w:val="left"/>
            </w:pPr>
            <w:r>
              <w:t xml:space="preserve">24 hours</w:t>
            </w:r>
          </w:p>
        </w:tc>
        <w:tc>
          <w:tcPr/>
          <w:p>
            <w:pPr>
              <w:pStyle w:val="Compact"/>
              <w:jc w:val="left"/>
            </w:pPr>
            <w:r>
              <w:t xml:space="preserve">245.00</w:t>
            </w:r>
          </w:p>
        </w:tc>
        <w:tc>
          <w:tcPr/>
          <w:p>
            <w:pPr>
              <w:pStyle w:val="Compact"/>
              <w:jc w:val="left"/>
            </w:pPr>
            <w:r>
              <w:t xml:space="preserve">5,880.00</w:t>
            </w:r>
          </w:p>
        </w:tc>
      </w:tr>
      <w:tr>
        <w:tc>
          <w:tcPr/>
          <w:p>
            <w:pPr>
              <w:pStyle w:val="Compact"/>
              <w:jc w:val="left"/>
            </w:pPr>
            <w:r>
              <w:t xml:space="preserve">4</w:t>
            </w:r>
          </w:p>
        </w:tc>
        <w:tc>
          <w:tcPr/>
          <w:p>
            <w:pPr>
              <w:pStyle w:val="Compact"/>
              <w:jc w:val="left"/>
            </w:pPr>
            <w:r>
              <w:t xml:space="preserve">Preparation and filing of a formal motion for interim injunctive relief (einstweilige Verfügung) before the Amtsgericht Berlin-Mitte. Includes cost estimation, court fee calculation per the German Court Costs Act (GKG), and coordination with the assigned Judge for scheduling.</w:t>
            </w:r>
          </w:p>
        </w:tc>
        <w:tc>
          <w:tcPr/>
          <w:p>
            <w:pPr>
              <w:pStyle w:val="Compact"/>
              <w:jc w:val="left"/>
            </w:pPr>
            <w:r>
              <w:t xml:space="preserve">12 hours</w:t>
            </w:r>
          </w:p>
        </w:tc>
        <w:tc>
          <w:tcPr/>
          <w:p>
            <w:pPr>
              <w:pStyle w:val="Compact"/>
              <w:jc w:val="left"/>
            </w:pPr>
            <w:r>
              <w:t xml:space="preserve">245.00</w:t>
            </w:r>
          </w:p>
        </w:tc>
        <w:tc>
          <w:tcPr/>
          <w:p>
            <w:pPr>
              <w:pStyle w:val="Compact"/>
              <w:jc w:val="left"/>
            </w:pPr>
            <w:r>
              <w:t xml:space="preserve">2,940.00</w:t>
            </w:r>
          </w:p>
        </w:tc>
      </w:tr>
      <w:tr>
        <w:tc>
          <w:tcPr/>
          <w:p>
            <w:pPr>
              <w:pStyle w:val="Compact"/>
              <w:jc w:val="left"/>
            </w:pPr>
            <w:r>
              <w:t xml:space="preserve">5</w:t>
            </w:r>
          </w:p>
        </w:tc>
        <w:tc>
          <w:tcPr/>
          <w:p>
            <w:pPr>
              <w:pStyle w:val="Compact"/>
              <w:jc w:val="left"/>
            </w:pPr>
            <w:r>
              <w:t xml:space="preserve">Quarterly judicial risk assessment report. The Judge Legal Advisory GmbH team compiled a comprehensive analysis of emerging case law from the Bundesgerichtshof and the European Court of Justice, tailored to the operational profile of the client in the Berlin metropolitan region.</w:t>
            </w:r>
          </w:p>
        </w:tc>
        <w:tc>
          <w:tcPr/>
          <w:p>
            <w:pPr>
              <w:pStyle w:val="Compact"/>
              <w:jc w:val="left"/>
            </w:pPr>
            <w:r>
              <w:t xml:space="preserve">1 flat fee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and administrative expenses incurred in connection with court appearances at the Landgericht Berlin and the Kammergericht Berlin, including court registration fees, document reproduction, and local transportation within Germany Berlin as per the agreed expense policy.</w:t>
            </w:r>
          </w:p>
        </w:tc>
        <w:tc>
          <w:tcPr/>
          <w:p>
            <w:pPr>
              <w:pStyle w:val="Compact"/>
              <w:jc w:val="left"/>
            </w:pPr>
            <w:r>
              <w:t xml:space="preserve">1 flat fee</w:t>
            </w:r>
          </w:p>
        </w:tc>
        <w:tc>
          <w:tcPr/>
          <w:p>
            <w:pPr>
              <w:pStyle w:val="Compact"/>
              <w:jc w:val="left"/>
            </w:pPr>
            <w:r>
              <w:t xml:space="preserve">487.50</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27,057.50 EUR</w:t>
            </w:r>
          </w:p>
        </w:tc>
      </w:tr>
      <w:tr>
        <w:tc>
          <w:tcPr/>
          <w:p>
            <w:pPr>
              <w:pStyle w:val="Compact"/>
              <w:jc w:val="left"/>
            </w:pPr>
            <w:r>
              <w:t xml:space="preserve">VAT / Umsatzsteuer (19%)</w:t>
            </w:r>
          </w:p>
        </w:tc>
        <w:tc>
          <w:tcPr/>
          <w:p>
            <w:pPr>
              <w:pStyle w:val="Compact"/>
              <w:jc w:val="left"/>
            </w:pPr>
            <w:r>
              <w:t xml:space="preserve">5,140.93 EUR</w:t>
            </w:r>
          </w:p>
        </w:tc>
      </w:tr>
      <w:tr>
        <w:tc>
          <w:tcPr/>
          <w:p>
            <w:pPr>
              <w:pStyle w:val="Compact"/>
              <w:jc w:val="left"/>
            </w:pPr>
            <w:r>
              <w:t xml:space="preserve">Total Amount Due (Brutto)</w:t>
            </w:r>
          </w:p>
        </w:tc>
        <w:tc>
          <w:tcPr/>
          <w:p>
            <w:pPr>
              <w:pStyle w:val="Compact"/>
              <w:jc w:val="left"/>
            </w:pPr>
            <w:r>
              <w:t xml:space="preserve">32,198.43 EUR</w:t>
            </w:r>
          </w:p>
        </w:tc>
      </w:tr>
    </w:tbl>
    <w:bookmarkStart w:id="24" w:name="payment-instructions-zahlungsdaten"/>
    <w:p>
      <w:pPr>
        <w:pStyle w:val="Heading3"/>
      </w:pPr>
      <w:r>
        <w:t xml:space="preserve">Payment Instructions / Zahlungsdaten</w:t>
      </w:r>
    </w:p>
    <w:p>
      <w:pPr>
        <w:pStyle w:val="FirstParagraph"/>
      </w:pPr>
      <w:r>
        <w:rPr>
          <w:bCs/>
          <w:b/>
        </w:rPr>
        <w:t xml:space="preserve">Bank:</w:t>
      </w:r>
      <w:r>
        <w:t xml:space="preserve"> </w:t>
      </w:r>
      <w:r>
        <w:t xml:space="preserve">Deutsche Kreditbank AG, Berlin, Germany</w:t>
      </w:r>
    </w:p>
    <w:p>
      <w:pPr>
        <w:pStyle w:val="BodyText"/>
      </w:pPr>
      <w:r>
        <w:rPr>
          <w:bCs/>
          <w:b/>
        </w:rPr>
        <w:t xml:space="preserve">IBAN:</w:t>
      </w:r>
      <w:r>
        <w:t xml:space="preserve"> </w:t>
      </w:r>
      <w:r>
        <w:t xml:space="preserve">DE89 1203 0000 0055 5788 01</w:t>
      </w:r>
    </w:p>
    <w:p>
      <w:pPr>
        <w:pStyle w:val="BodyText"/>
      </w:pPr>
      <w:r>
        <w:rPr>
          <w:bCs/>
          <w:b/>
        </w:rPr>
        <w:t xml:space="preserve">BIC:</w:t>
      </w:r>
      <w:r>
        <w:t xml:space="preserve"> </w:t>
      </w:r>
      <w:r>
        <w:t xml:space="preserve">BYLADEBBXXX</w:t>
      </w:r>
    </w:p>
    <w:p>
      <w:pPr>
        <w:pStyle w:val="BodyText"/>
      </w:pPr>
      <w:r>
        <w:rPr>
          <w:bCs/>
          <w:b/>
        </w:rPr>
        <w:t xml:space="preserve">Reference (Verwendungszweck):</w:t>
      </w:r>
      <w:r>
        <w:t xml:space="preserve"> </w:t>
      </w:r>
      <w:r>
        <w:t xml:space="preserve">Invoice JLA-2025-00487 / Meridian Corporate Holdings AG</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30 days from date of issue. Please note that under German commercial law (HGB § 288), a default interest of 5 percentage points above the base rate applies to overdue invoices.</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is issued by Judge Legal Advisory GmbH, a registered legal advisory firm headquartered in Berlin, Germany. All services described herein were rendered in accordance with the German Lawyers' Act (Rechtsanwaltsvergütungsgesetz – RVG) and the applicable professional regulations of the Rechtsanwaltskammer Berlin.</w:t>
      </w:r>
    </w:p>
    <w:p>
      <w:pPr>
        <w:numPr>
          <w:ilvl w:val="0"/>
          <w:numId w:val="1001"/>
        </w:numPr>
        <w:pStyle w:val="Compact"/>
      </w:pPr>
      <w:r>
        <w:t xml:space="preserve">The term "Judge" in the context of this invoice refers to the senior judicial advisory partner, Judge Dr. Heinrich Albrecht, who supervised all legal proceedings and provided expert counsel throughout the service period. The Judge's professional judgment and legal expertise formed the foundation of all advisory deliverables listed above.</w:t>
      </w:r>
    </w:p>
    <w:p>
      <w:pPr>
        <w:numPr>
          <w:ilvl w:val="0"/>
          <w:numId w:val="1001"/>
        </w:numPr>
        <w:pStyle w:val="Compact"/>
      </w:pPr>
      <w:r>
        <w:t xml:space="preserve">All court fees, stamp duties, and official charges payable to the German judiciary in Berlin, Germany, are itemized separately under line item 6 and are not subject to VAT as they constitute public-law charges.</w:t>
      </w:r>
    </w:p>
    <w:p>
      <w:pPr>
        <w:numPr>
          <w:ilvl w:val="0"/>
          <w:numId w:val="1001"/>
        </w:numPr>
        <w:pStyle w:val="Compact"/>
      </w:pPr>
      <w:r>
        <w:t xml:space="preserve">This invoice constitutes a valid tax document (Rechnung) in accordance with § 14 of the German VAT Act (Umsatzsteuergesetz – UStG). The client is requested to retain this document for their statutory bookkeeping and tax filing obligations in Germany.</w:t>
      </w:r>
    </w:p>
    <w:p>
      <w:pPr>
        <w:numPr>
          <w:ilvl w:val="0"/>
          <w:numId w:val="1001"/>
        </w:numPr>
        <w:pStyle w:val="Compact"/>
      </w:pPr>
      <w:r>
        <w:t xml:space="preserve">Should any discrepancy be identified in this invoice, the client is kindly requested to contact the billing department of Judge Legal Advisory GmbH within fourteen (14) calendar days of receipt. Disputes regarding the scope of judicial advisory services will be resolved in accordance with the governing law of the Federal Republic of Germany, with exclusive jurisdiction vested in the courts of Berlin, Germany.</w:t>
      </w:r>
    </w:p>
    <w:p>
      <w:pPr>
        <w:numPr>
          <w:ilvl w:val="0"/>
          <w:numId w:val="1001"/>
        </w:numPr>
        <w:pStyle w:val="Compact"/>
      </w:pPr>
      <w:r>
        <w:t xml:space="preserve">Judge Legal Advisory GmbH confirms that all data processing in connection with this invoice complies with the General Data Protection Regulation (GDPR / DSGVO) and the German Federal Data Protection Act (Bundesdatenschutzgesetz – BDSG).</w:t>
      </w:r>
    </w:p>
    <w:bookmarkEnd w:id="25"/>
    <w:p>
      <w:pPr>
        <w:pStyle w:val="FirstParagraph"/>
      </w:pPr>
      <w:r>
        <w:t xml:space="preserve">Authorized Signatory: Judge Dr. Heinrich Albrecht, Managing Partner</w:t>
      </w:r>
    </w:p>
    <w:p>
      <w:pPr>
        <w:pStyle w:val="BodyText"/>
      </w:pPr>
      <w:r>
        <w:t xml:space="preserve">Judge Legal Advisory GmbH — Berlin, Germany — 15 June 2025</w:t>
      </w:r>
    </w:p>
    <w:p>
      <w:pPr>
        <w:pStyle w:val="BodyText"/>
      </w:pPr>
      <w:r>
        <w:t xml:space="preserve">This invoice was generated electronically and is valid without a physical signature in accordance with § 14 Abs. 4 UStG. For authentication, please reference Invoice No. JLA-2025-00487.</w:t>
      </w:r>
    </w:p>
    <w:p>
      <w:pPr>
        <w:pStyle w:val="BodyText"/>
      </w:pPr>
      <w:r>
        <w:t xml:space="preserve">Judge Legal Advisory GmbH • Unter den Linden 42, 10117 Berlin, Germany • Tel: +49 (0)30 555 78 200 • www.judge-legal-advisory.de</w:t>
      </w:r>
    </w:p>
    <w:p>
      <w:pPr>
        <w:pStyle w:val="BodyText"/>
      </w:pPr>
      <w:r>
        <w:t xml:space="preserve">Managing Director: Judge Dr. Heinrich Albrecht • USt-IdNr.: DE 318 456 721 • HRB 184 523 B, Amtsgericht Berlin-Charlottenburg</w:t>
      </w:r>
    </w:p>
    <w:p>
      <w:pPr>
        <w:pStyle w:val="BodyText"/>
      </w:pPr>
      <w:r>
        <w:t xml:space="preserve">This document is the property of Judge Legal Advisory GmbH. Unauthorized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Advisory GmbH - Berlin, Germany</dc:title>
  <dc:creator/>
  <dc:language>en</dc:language>
  <cp:keywords/>
  <dcterms:created xsi:type="dcterms:W3CDTF">2026-10-10T06:39:10Z</dcterms:created>
  <dcterms:modified xsi:type="dcterms:W3CDTF">2026-10-10T06:39:10Z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