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Judge</w:t>
      </w:r>
      <w:r>
        <w:t xml:space="preserve"> </w:t>
      </w:r>
      <w:r>
        <w:t xml:space="preserve">-</w:t>
      </w:r>
      <w:r>
        <w:t xml:space="preserve"> </w:t>
      </w:r>
      <w:r>
        <w:t xml:space="preserve">Germany</w:t>
      </w:r>
      <w:r>
        <w:t xml:space="preserve"> </w:t>
      </w:r>
      <w:r>
        <w:t xml:space="preserve">Frankfurt</w:t>
      </w:r>
    </w:p>
    <w:bookmarkStart w:id="20" w:name="invoice"/>
    <w:p>
      <w:pPr>
        <w:pStyle w:val="Heading1"/>
      </w:pPr>
      <w:r>
        <w:t xml:space="preserve">INVOICE</w:t>
      </w:r>
    </w:p>
    <w:p>
      <w:pPr>
        <w:pStyle w:val="FirstParagraph"/>
      </w:pPr>
      <w:r>
        <w:t xml:space="preserve">Judicial Services &amp; Legal Proceedings — Judge, Germany Frankfurt</w:t>
      </w:r>
    </w:p>
    <w:p>
      <w:pPr>
        <w:pStyle w:val="BodyText"/>
      </w:pPr>
      <w:r>
        <w:t xml:space="preserve">Official Invoice for Court-Related Services Rendered in Frankfurt, Germany</w:t>
      </w:r>
    </w:p>
    <w:bookmarkEnd w:id="20"/>
    <w:bookmarkStart w:id="21" w:name="issued-by-service-provider"/>
    <w:p>
      <w:pPr>
        <w:pStyle w:val="Heading3"/>
      </w:pPr>
      <w:r>
        <w:t xml:space="preserve">Issued By (Service Provider)</w:t>
      </w:r>
    </w:p>
    <w:p>
      <w:pPr>
        <w:pStyle w:val="FirstParagraph"/>
      </w:pPr>
      <w:r>
        <w:rPr>
          <w:bCs/>
          <w:b/>
        </w:rPr>
        <w:t xml:space="preserve">Judge Dr. Heinrich von Steinbach</w:t>
      </w:r>
    </w:p>
    <w:p>
      <w:pPr>
        <w:pStyle w:val="BodyText"/>
      </w:pPr>
      <w:r>
        <w:t xml:space="preserve">Landgericht Frankfurt am Main</w:t>
      </w:r>
    </w:p>
    <w:p>
      <w:pPr>
        <w:pStyle w:val="BodyText"/>
      </w:pPr>
      <w:r>
        <w:t xml:space="preserve">Poststraße 120</w:t>
      </w:r>
    </w:p>
    <w:p>
      <w:pPr>
        <w:pStyle w:val="BodyText"/>
      </w:pPr>
      <w:r>
        <w:t xml:space="preserve">60329 Frankfurt am Main</w:t>
      </w:r>
    </w:p>
    <w:p>
      <w:pPr>
        <w:pStyle w:val="BodyText"/>
      </w:pPr>
      <w:r>
        <w:t xml:space="preserve">Hesse, Germany Frankfurt</w:t>
      </w:r>
    </w:p>
    <w:p>
      <w:pPr>
        <w:pStyle w:val="BodyText"/>
      </w:pPr>
      <w:r>
        <w:t xml:space="preserve">Tel: +49 (0)69 241-0</w:t>
      </w:r>
    </w:p>
    <w:p>
      <w:pPr>
        <w:pStyle w:val="BodyText"/>
      </w:pPr>
      <w:r>
        <w:t xml:space="preserve">Email: judge.steinbach@lg-frankfurt.justiz.hessen.de</w:t>
      </w:r>
    </w:p>
    <w:p>
      <w:pPr>
        <w:pStyle w:val="BodyText"/>
      </w:pPr>
      <w:r>
        <w:t xml:space="preserve">VAT ID: DE 123 456 789</w:t>
      </w:r>
    </w:p>
    <w:bookmarkEnd w:id="21"/>
    <w:bookmarkStart w:id="22" w:name="issued-to-client-party"/>
    <w:p>
      <w:pPr>
        <w:pStyle w:val="Heading3"/>
      </w:pPr>
      <w:r>
        <w:t xml:space="preserve">Issued To (Client / Party)</w:t>
      </w:r>
    </w:p>
    <w:p>
      <w:pPr>
        <w:pStyle w:val="FirstParagraph"/>
      </w:pPr>
      <w:r>
        <w:rPr>
          <w:bCs/>
          <w:b/>
        </w:rPr>
        <w:t xml:space="preserve">Müller &amp; Partner Rechtsanwaltskanzlei</w:t>
      </w:r>
    </w:p>
    <w:p>
      <w:pPr>
        <w:pStyle w:val="BodyText"/>
      </w:pPr>
      <w:r>
        <w:t xml:space="preserve">Attn: Dr. Sabine Müller, Esq.</w:t>
      </w:r>
    </w:p>
    <w:p>
      <w:pPr>
        <w:pStyle w:val="BodyText"/>
      </w:pPr>
      <w:r>
        <w:t xml:space="preserve">Bockenheimer Landstraße 45</w:t>
      </w:r>
    </w:p>
    <w:p>
      <w:pPr>
        <w:pStyle w:val="BodyText"/>
      </w:pPr>
      <w:r>
        <w:t xml:space="preserve">60323 Frankfurt am Main</w:t>
      </w:r>
    </w:p>
    <w:p>
      <w:pPr>
        <w:pStyle w:val="BodyText"/>
      </w:pPr>
      <w:r>
        <w:t xml:space="preserve">Hesse, Germany Frankfurt</w:t>
      </w:r>
    </w:p>
    <w:p>
      <w:pPr>
        <w:pStyle w:val="BodyText"/>
      </w:pPr>
      <w:r>
        <w:t xml:space="preserve">Tel: +49 (0)69 887-6543</w:t>
      </w:r>
    </w:p>
    <w:p>
      <w:pPr>
        <w:pStyle w:val="BodyText"/>
      </w:pPr>
      <w:r>
        <w:t xml:space="preserve">Email: s.mueller@muller-partner.de</w:t>
      </w:r>
    </w:p>
    <w:p>
      <w:pPr>
        <w:pStyle w:val="BodyText"/>
      </w:pPr>
      <w:r>
        <w:t xml:space="preserve">Client Reference: MP-2024-0847</w:t>
      </w:r>
    </w:p>
    <w:bookmarkEnd w:id="22"/>
    <w:p>
      <w:pPr>
        <w:pStyle w:val="BodyText"/>
      </w:pPr>
      <w:r>
        <w:rPr>
          <w:bCs/>
          <w:b/>
        </w:rPr>
        <w:t xml:space="preserve">Invoice Number:</w:t>
      </w:r>
      <w:r>
        <w:t xml:space="preserve"> </w:t>
      </w:r>
      <w:r>
        <w:t xml:space="preserve">INV-JDG-FRA-2024-00382</w:t>
      </w:r>
    </w:p>
    <w:p>
      <w:pPr>
        <w:pStyle w:val="BodyText"/>
      </w:pPr>
      <w:r>
        <w:rPr>
          <w:bCs/>
          <w:b/>
        </w:rPr>
        <w:t xml:space="preserve">Invoice Date:</w:t>
      </w:r>
      <w:r>
        <w:t xml:space="preserve"> </w:t>
      </w:r>
      <w:r>
        <w:t xml:space="preserve">15 June 2024</w:t>
      </w:r>
    </w:p>
    <w:p>
      <w:pPr>
        <w:pStyle w:val="BodyText"/>
      </w:pPr>
      <w:r>
        <w:rPr>
          <w:bCs/>
          <w:b/>
        </w:rPr>
        <w:t xml:space="preserve">Service Period:</w:t>
      </w:r>
      <w:r>
        <w:t xml:space="preserve"> </w:t>
      </w:r>
      <w:r>
        <w:t xml:space="preserve">01 March 2024 – 30 May 2024</w:t>
      </w:r>
    </w:p>
    <w:p>
      <w:pPr>
        <w:pStyle w:val="BodyText"/>
      </w:pPr>
      <w:r>
        <w:rPr>
          <w:bCs/>
          <w:b/>
        </w:rPr>
        <w:t xml:space="preserve">Due Date:</w:t>
      </w:r>
      <w:r>
        <w:t xml:space="preserve"> </w:t>
      </w:r>
      <w:r>
        <w:t xml:space="preserve">15 July 2024</w:t>
      </w:r>
    </w:p>
    <w:p>
      <w:pPr>
        <w:pStyle w:val="BodyText"/>
      </w:pPr>
      <w:r>
        <w:rPr>
          <w:bCs/>
          <w:b/>
        </w:rPr>
        <w:t xml:space="preserve">Currency:</w:t>
      </w:r>
      <w:r>
        <w:t xml:space="preserve"> </w:t>
      </w:r>
      <w:r>
        <w:t xml:space="preserve">Euro (EUR)</w:t>
      </w:r>
    </w:p>
    <w:p>
      <w:pPr>
        <w:pStyle w:val="BodyText"/>
      </w:pPr>
      <w:r>
        <w:rPr>
          <w:bCs/>
          <w:b/>
        </w:rPr>
        <w:t xml:space="preserve">Jurisdiction:</w:t>
      </w:r>
      <w:r>
        <w:t xml:space="preserve"> </w:t>
      </w:r>
      <w:r>
        <w:t xml:space="preserve">Germany Frankfurt — Landgericht Frankfurt am Main, Hesse</w:t>
      </w:r>
    </w:p>
    <w:p>
      <w:pPr>
        <w:pStyle w:val="BodyText"/>
      </w:pPr>
      <w:r>
        <w:rPr>
          <w:bCs/>
          <w:b/>
        </w:rPr>
        <w:t xml:space="preserve">Case Reference:</w:t>
      </w:r>
      <w:r>
        <w:t xml:space="preserve"> </w:t>
      </w:r>
      <w:r>
        <w:t xml:space="preserve">2 O 1456/24 (Commercial Dispute)</w:t>
      </w:r>
    </w:p>
    <w:bookmarkStart w:id="24" w:name="X94b6f38f075c7550076ed557ff5c3e67e5554bb"/>
    <w:p>
      <w:pPr>
        <w:pStyle w:val="Heading2"/>
      </w:pPr>
      <w:r>
        <w:t xml:space="preserve">Description of Judicial Services Rendered by Judge in Germany Frankfurt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Presiding Judge consultation and preliminary hearing for commercial contract dispute, Case 2 O 1456/24, conducted at the Landgericht Frankfurt am Main, Germany Frankfurt</w:t>
            </w:r>
          </w:p>
        </w:tc>
        <w:tc>
          <w:tcPr/>
          <w:p>
            <w:pPr>
              <w:pStyle w:val="Compact"/>
              <w:jc w:val="left"/>
            </w:pPr>
            <w:r>
              <w:t xml:space="preserve">04 Mar 2024</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2</w:t>
            </w:r>
          </w:p>
        </w:tc>
        <w:tc>
          <w:tcPr/>
          <w:p>
            <w:pPr>
              <w:pStyle w:val="Compact"/>
              <w:jc w:val="left"/>
            </w:pPr>
            <w:r>
              <w:t xml:space="preserve">Judge-ordered expert review and written judicial opinion on contractual liability clauses, prepared by Judge Dr. von Steinbach for the court record in Germany Frankfurt</w:t>
            </w:r>
          </w:p>
        </w:tc>
        <w:tc>
          <w:tcPr/>
          <w:p>
            <w:pPr>
              <w:pStyle w:val="Compact"/>
              <w:jc w:val="left"/>
            </w:pPr>
            <w:r>
              <w:t xml:space="preserve">18 Mar 2024</w:t>
            </w:r>
          </w:p>
        </w:tc>
        <w:tc>
          <w:tcPr/>
          <w:p>
            <w:pPr>
              <w:pStyle w:val="Compact"/>
              <w:jc w:val="left"/>
            </w:pPr>
            <w:r>
              <w:t xml:space="preserve">8.0</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3</w:t>
            </w:r>
          </w:p>
        </w:tc>
        <w:tc>
          <w:tcPr/>
          <w:p>
            <w:pPr>
              <w:pStyle w:val="Compact"/>
              <w:jc w:val="left"/>
            </w:pPr>
            <w:r>
              <w:t xml:space="preserve">Mediation session presided over by the Judge at the Frankfurt Mediation Centre, Germany Frankfurt, involving both parties and their legal representatives</w:t>
            </w:r>
          </w:p>
        </w:tc>
        <w:tc>
          <w:tcPr/>
          <w:p>
            <w:pPr>
              <w:pStyle w:val="Compact"/>
              <w:jc w:val="left"/>
            </w:pPr>
            <w:r>
              <w:t xml:space="preserve">02 Apr 2024</w:t>
            </w:r>
          </w:p>
        </w:tc>
        <w:tc>
          <w:tcPr/>
          <w:p>
            <w:pPr>
              <w:pStyle w:val="Compact"/>
              <w:jc w:val="left"/>
            </w:pPr>
            <w:r>
              <w:t xml:space="preserve">6.0</w:t>
            </w:r>
          </w:p>
        </w:tc>
        <w:tc>
          <w:tcPr/>
          <w:p>
            <w:pPr>
              <w:pStyle w:val="Compact"/>
              <w:jc w:val="left"/>
            </w:pPr>
            <w:r>
              <w:t xml:space="preserve">250.00</w:t>
            </w:r>
          </w:p>
        </w:tc>
        <w:tc>
          <w:tcPr/>
          <w:p>
            <w:pPr>
              <w:pStyle w:val="Compact"/>
              <w:jc w:val="left"/>
            </w:pPr>
            <w:r>
              <w:t xml:space="preserve">1,500.00</w:t>
            </w:r>
          </w:p>
        </w:tc>
      </w:tr>
      <w:tr>
        <w:tc>
          <w:tcPr/>
          <w:p>
            <w:pPr>
              <w:pStyle w:val="Compact"/>
              <w:jc w:val="left"/>
            </w:pPr>
            <w:r>
              <w:t xml:space="preserve">4</w:t>
            </w:r>
          </w:p>
        </w:tc>
        <w:tc>
          <w:tcPr/>
          <w:p>
            <w:pPr>
              <w:pStyle w:val="Compact"/>
              <w:jc w:val="left"/>
            </w:pPr>
            <w:r>
              <w:t xml:space="preserve">Written judicial ruling and interim injunction order issued by the Judge, including detailed legal reasoning under German civil procedure law (ZPO), filed at the Landgericht Frankfurt am Main</w:t>
            </w:r>
          </w:p>
        </w:tc>
        <w:tc>
          <w:tcPr/>
          <w:p>
            <w:pPr>
              <w:pStyle w:val="Compact"/>
              <w:jc w:val="left"/>
            </w:pPr>
            <w:r>
              <w:t xml:space="preserve">15 Apr 2024</w:t>
            </w:r>
          </w:p>
        </w:tc>
        <w:tc>
          <w:tcPr/>
          <w:p>
            <w:pPr>
              <w:pStyle w:val="Compact"/>
              <w:jc w:val="left"/>
            </w:pPr>
            <w:r>
              <w:t xml:space="preserve">5.0</w:t>
            </w:r>
          </w:p>
        </w:tc>
        <w:tc>
          <w:tcPr/>
          <w:p>
            <w:pPr>
              <w:pStyle w:val="Compact"/>
              <w:jc w:val="left"/>
            </w:pPr>
            <w:r>
              <w:t xml:space="preserve">250.00</w:t>
            </w:r>
          </w:p>
        </w:tc>
        <w:tc>
          <w:tcPr/>
          <w:p>
            <w:pPr>
              <w:pStyle w:val="Compact"/>
              <w:jc w:val="left"/>
            </w:pPr>
            <w:r>
              <w:t xml:space="preserve">1,250.00</w:t>
            </w:r>
          </w:p>
        </w:tc>
      </w:tr>
      <w:tr>
        <w:tc>
          <w:tcPr/>
          <w:p>
            <w:pPr>
              <w:pStyle w:val="Compact"/>
              <w:jc w:val="left"/>
            </w:pPr>
            <w:r>
              <w:t xml:space="preserve">5</w:t>
            </w:r>
          </w:p>
        </w:tc>
        <w:tc>
          <w:tcPr/>
          <w:p>
            <w:pPr>
              <w:pStyle w:val="Compact"/>
              <w:jc w:val="left"/>
            </w:pPr>
            <w:r>
              <w:t xml:space="preserve">Follow-up hearing and evidence examination presided by the Judge, including witness testimony review and cross-examination oversight in Germany Frankfurt</w:t>
            </w:r>
          </w:p>
        </w:tc>
        <w:tc>
          <w:tcPr/>
          <w:p>
            <w:pPr>
              <w:pStyle w:val="Compact"/>
              <w:jc w:val="left"/>
            </w:pPr>
            <w:r>
              <w:t xml:space="preserve">09 May 2024</w:t>
            </w:r>
          </w:p>
        </w:tc>
        <w:tc>
          <w:tcPr/>
          <w:p>
            <w:pPr>
              <w:pStyle w:val="Compact"/>
              <w:jc w:val="left"/>
            </w:pPr>
            <w:r>
              <w:t xml:space="preserve">7.0</w:t>
            </w:r>
          </w:p>
        </w:tc>
        <w:tc>
          <w:tcPr/>
          <w:p>
            <w:pPr>
              <w:pStyle w:val="Compact"/>
              <w:jc w:val="left"/>
            </w:pPr>
            <w:r>
              <w:t xml:space="preserve">250.00</w:t>
            </w:r>
          </w:p>
        </w:tc>
        <w:tc>
          <w:tcPr/>
          <w:p>
            <w:pPr>
              <w:pStyle w:val="Compact"/>
              <w:jc w:val="left"/>
            </w:pPr>
            <w:r>
              <w:t xml:space="preserve">1,750.00</w:t>
            </w:r>
          </w:p>
        </w:tc>
      </w:tr>
      <w:tr>
        <w:tc>
          <w:tcPr/>
          <w:p>
            <w:pPr>
              <w:pStyle w:val="Compact"/>
              <w:jc w:val="left"/>
            </w:pPr>
            <w:r>
              <w:t xml:space="preserve">6</w:t>
            </w:r>
          </w:p>
        </w:tc>
        <w:tc>
          <w:tcPr/>
          <w:p>
            <w:pPr>
              <w:pStyle w:val="Compact"/>
              <w:jc w:val="left"/>
            </w:pPr>
            <w:r>
              <w:t xml:space="preserve">Final judgment drafting and oral pronouncement by the Judge in open court at the Landgericht Frankfurt am Main, Germany Frankfurt, including post-hearing conference with counsel</w:t>
            </w:r>
          </w:p>
        </w:tc>
        <w:tc>
          <w:tcPr/>
          <w:p>
            <w:pPr>
              <w:pStyle w:val="Compact"/>
              <w:jc w:val="left"/>
            </w:pPr>
            <w:r>
              <w:t xml:space="preserve">28 May 2024</w:t>
            </w:r>
          </w:p>
        </w:tc>
        <w:tc>
          <w:tcPr/>
          <w:p>
            <w:pPr>
              <w:pStyle w:val="Compact"/>
              <w:jc w:val="left"/>
            </w:pPr>
            <w:r>
              <w:t xml:space="preserve">6.0</w:t>
            </w:r>
          </w:p>
        </w:tc>
        <w:tc>
          <w:tcPr/>
          <w:p>
            <w:pPr>
              <w:pStyle w:val="Compact"/>
              <w:jc w:val="left"/>
            </w:pPr>
            <w:r>
              <w:t xml:space="preserve">250.00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Administrative court costs, document filing fees, and official seal authentication for the Judge’s orders as mandated by the German court fee schedule (GKG) in Frankfurt, Germany</w:t>
            </w:r>
          </w:p>
        </w:tc>
        <w:tc>
          <w:tcPr/>
          <w:p>
            <w:pPr>
              <w:pStyle w:val="Compact"/>
              <w:jc w:val="left"/>
            </w:pPr>
            <w:r>
              <w:t xml:space="preserve">30 May 2024</w:t>
            </w:r>
          </w:p>
        </w:tc>
        <w:tc>
          <w:tcPr/>
          <w:p>
            <w:pPr>
              <w:pStyle w:val="Compact"/>
              <w:jc w:val="left"/>
            </w:pPr>
            <w:r>
              <w:t xml:space="preserve">—</w:t>
            </w:r>
          </w:p>
        </w:tc>
        <w:tc>
          <w:tcPr/>
          <w:p>
            <w:pPr>
              <w:pStyle w:val="Compact"/>
              <w:jc w:val="left"/>
            </w:pPr>
            <w:r>
              <w:t xml:space="preserve">—</w:t>
            </w:r>
          </w:p>
        </w:tc>
        <w:tc>
          <w:tcPr/>
          <w:p>
            <w:pPr>
              <w:pStyle w:val="Compact"/>
              <w:jc w:val="left"/>
            </w:pPr>
            <w:r>
              <w:t xml:space="preserve">487.50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9,487.50 EUR</w:t>
            </w:r>
          </w:p>
        </w:tc>
      </w:tr>
      <w:tr>
        <w:tc>
          <w:tcPr/>
          <w:p>
            <w:pPr>
              <w:pStyle w:val="Compact"/>
              <w:jc w:val="left"/>
            </w:pPr>
            <w:r>
              <w:t xml:space="preserve">VAT (19% — Germany Frankfurt standard rate)</w:t>
            </w:r>
          </w:p>
        </w:tc>
        <w:tc>
          <w:tcPr/>
          <w:p>
            <w:pPr>
              <w:pStyle w:val="Compact"/>
              <w:jc w:val="right"/>
            </w:pPr>
            <w:r>
              <w:t xml:space="preserve">1,802.63 EUR</w:t>
            </w:r>
          </w:p>
        </w:tc>
      </w:tr>
      <w:tr>
        <w:tc>
          <w:tcPr/>
          <w:p>
            <w:pPr>
              <w:pStyle w:val="Compact"/>
              <w:jc w:val="left"/>
            </w:pPr>
            <w:r>
              <w:t xml:space="preserve">GRAND TOTAL DUE</w:t>
            </w:r>
          </w:p>
        </w:tc>
        <w:tc>
          <w:tcPr/>
          <w:p>
            <w:pPr>
              <w:pStyle w:val="Compact"/>
              <w:jc w:val="right"/>
            </w:pPr>
            <w:r>
              <w:t xml:space="preserve">11,290.13 EUR</w:t>
            </w:r>
          </w:p>
        </w:tc>
      </w:tr>
    </w:tbl>
    <w:bookmarkStart w:id="23" w:name="payment-terms-conditions"/>
    <w:p>
      <w:pPr>
        <w:pStyle w:val="Heading3"/>
      </w:pPr>
      <w:r>
        <w:t xml:space="preserve">Payment Terms &amp; Conditions</w:t>
      </w:r>
    </w:p>
    <w:p>
      <w:pPr>
        <w:pStyle w:val="FirstParagraph"/>
      </w:pPr>
      <w:r>
        <w:t xml:space="preserve">This invoice is issued in accordance with the German Civil Code (BGB) and the Court Costs and Fees Act (GKG) applicable in Germany Frankfurt. Payment of the full amount of 11,290.13 EUR is due within thirty (30) calendar days of the invoice date, no later than 15 July 2024.</w:t>
      </w:r>
    </w:p>
    <w:p>
      <w:pPr>
        <w:pStyle w:val="BodyText"/>
      </w:pPr>
      <w:r>
        <w:t xml:space="preserve">Payment shall be made via bank transfer to the following account: IBAN DE89 3704 0044 0532 0130 00, BIC COBADEFFXXX, Landgericht Frankfurt am Main, Germany Frankfurt. Please reference the invoice number INV-JDG-FRA-2024-00382 and case number 2 O 1456/24 in all correspondence.</w:t>
      </w:r>
    </w:p>
    <w:p>
      <w:pPr>
        <w:pStyle w:val="BodyText"/>
      </w:pPr>
      <w:r>
        <w:t xml:space="preserve">In the event of late payment, statutory interest at the rate of 5 percentage points above the European Central Bank base rate shall apply as per Section 288 of the German Civil Code. The Judge’s office in Germany Frankfurt reserves the right to suspend further judicial proceedings until full settlement of this invoice is confirmed.</w:t>
      </w:r>
    </w:p>
    <w:p>
      <w:pPr>
        <w:pStyle w:val="BodyText"/>
      </w:pPr>
      <w:r>
        <w:t xml:space="preserve">All services described herein were rendered by the presiding Judge at the Landgericht Frankfurt am Main in the city of Frankfurt, Germany Frankfurt, in strict compliance with the principles of judicial independence, impartiality, and due process as enshrined in the German Basic Law (Grundgesetz) and the European Convention on Human Rights.</w:t>
      </w:r>
    </w:p>
    <w:p>
      <w:pPr>
        <w:pStyle w:val="BodyText"/>
      </w:pPr>
      <w:r>
        <w:t xml:space="preserve">This invoice constitutes the final and complete accounting for all judicial services provided by the Judge during the stated service period. No additional fees or charges shall be incurred beyond the amounts specified in this document unless a formal amendment is issued and signed by the Judge’s administrative office in Germany Frankfurt.</w:t>
      </w:r>
    </w:p>
    <w:bookmarkEnd w:id="23"/>
    <w:p>
      <w:pPr>
        <w:pStyle w:val="BodyText"/>
      </w:pPr>
      <w:r>
        <w:rPr>
          <w:bCs/>
          <w:b/>
        </w:rPr>
        <w:t xml:space="preserve">OFFICIAL JUDICIAL CERTIFICATION</w:t>
      </w:r>
    </w:p>
    <w:p>
      <w:pPr>
        <w:pStyle w:val="BodyText"/>
      </w:pPr>
      <w:r>
        <w:t xml:space="preserve">This invoice certifies that the above-listed judicial services were duly performed by Judge Dr. Heinrich von Steinbach at the Landgericht Frankfurt am Main, Germany Frankfurt, in the capacity of presiding judicial officer for Case No. 2 O 1456/24.</w:t>
      </w:r>
    </w:p>
    <w:p>
      <w:pPr>
        <w:pStyle w:val="BodyText"/>
      </w:pPr>
      <w:r>
        <w:t xml:space="preserve">Seal and Signature: [Official Court Seal — Landgericht Frankfurt am Main]</w:t>
      </w:r>
    </w:p>
    <w:p>
      <w:pPr>
        <w:pStyle w:val="BodyText"/>
      </w:pPr>
      <w:r>
        <w:t xml:space="preserve">Signed: Judge Dr. H. von Steinbach — Frankfurt, Germany Frankfurt — 15 June 2024</w:t>
      </w:r>
    </w:p>
    <w:p>
      <w:pPr>
        <w:pStyle w:val="BodyText"/>
      </w:pPr>
      <w:r>
        <w:t xml:space="preserve">Landgericht Frankfurt am Main — Poststraße 120, 60329 Frankfurt am Main, Hesse, Germany Frankfurt</w:t>
      </w:r>
    </w:p>
    <w:p>
      <w:pPr>
        <w:pStyle w:val="BodyText"/>
      </w:pPr>
      <w:r>
        <w:t xml:space="preserve">Invoice INV-JDG-FRA-2024-00382 — Judicial Services — Judge Dr. H. von Steinbach</w:t>
      </w:r>
    </w:p>
    <w:p>
      <w:pPr>
        <w:pStyle w:val="BodyText"/>
      </w:pPr>
      <w:r>
        <w:t xml:space="preserve">This document is a legally binding invoice issued under the jurisdiction of Germany Frankfurt. For queries, contact the court administration office at +49 (0)69 241-0.</w:t>
      </w:r>
    </w:p>
    <w:p>
      <w:pPr>
        <w:pStyle w:val="BodyText"/>
      </w:pPr>
      <w:r>
        <w:t xml:space="preserve">© 2024 Landgericht Frankfurt am Main. All rights reserved. Germany Frankfurt.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Judge - Germany Frankfurt</dc:title>
  <dc:creator/>
  <dc:language>en</dc:language>
  <cp:keywords/>
  <dcterms:created xsi:type="dcterms:W3CDTF">2026-10-10T09:11:07Z</dcterms:created>
  <dcterms:modified xsi:type="dcterms:W3CDTF">2026-10-10T09:11:07Z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