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Judicial &amp; Legal Advisory Services</w:t>
      </w:r>
    </w:p>
    <w:p>
      <w:pPr>
        <w:pStyle w:val="BodyText"/>
      </w:pPr>
      <w:r>
        <w:t xml:space="preserve">Republic of Ghana — Accra Metropolitan Area</w:t>
      </w:r>
    </w:p>
    <w:p>
      <w:pPr>
        <w:pStyle w:val="BodyText"/>
      </w:pPr>
      <w:r>
        <w:t xml:space="preserve">Official Invoice — Ghana Revenue Authority Compliant</w:t>
      </w:r>
    </w:p>
    <w:bookmarkEnd w:id="20"/>
    <w:bookmarkStart w:id="21" w:name="judge-service-provider"/>
    <w:p>
      <w:pPr>
        <w:pStyle w:val="Heading3"/>
      </w:pPr>
      <w:r>
        <w:t xml:space="preserve">Judge / Service Provider</w:t>
      </w:r>
    </w:p>
    <w:p>
      <w:pPr>
        <w:pStyle w:val="FirstParagraph"/>
      </w:pPr>
      <w:r>
        <w:rPr>
          <w:bCs/>
          <w:b/>
        </w:rPr>
        <w:t xml:space="preserve">Hon. Justice Kwame A. Mensah</w:t>
      </w:r>
    </w:p>
    <w:p>
      <w:pPr>
        <w:pStyle w:val="BodyText"/>
      </w:pPr>
      <w:r>
        <w:t xml:space="preserve">Judge of the High Court, Judicial Division</w:t>
      </w:r>
    </w:p>
    <w:p>
      <w:pPr>
        <w:pStyle w:val="BodyText"/>
      </w:pPr>
      <w:r>
        <w:t xml:space="preserve">Supreme Court Building, 12 Independence Avenue</w:t>
      </w:r>
    </w:p>
    <w:p>
      <w:pPr>
        <w:pStyle w:val="BodyText"/>
      </w:pPr>
      <w:r>
        <w:t xml:space="preserve">Accra, Ghana</w:t>
      </w:r>
    </w:p>
    <w:p>
      <w:pPr>
        <w:pStyle w:val="BodyText"/>
      </w:pPr>
      <w:r>
        <w:t xml:space="preserve">Tel: +233 (0)30 277 4521</w:t>
      </w:r>
    </w:p>
    <w:p>
      <w:pPr>
        <w:pStyle w:val="BodyText"/>
      </w:pPr>
      <w:r>
        <w:t xml:space="preserve">Email: j.mensah@judiciary.gov.gh</w:t>
      </w:r>
    </w:p>
    <w:p>
      <w:pPr>
        <w:pStyle w:val="BodyText"/>
      </w:pPr>
      <w:r>
        <w:t xml:space="preserve">GRA TIN: 10023456789</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INV-GHA-ACC-2025-00487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Ghana Cedi (GHS / GH₵)</w:t>
      </w:r>
    </w:p>
    <w:p>
      <w:pPr>
        <w:pStyle w:val="BodyText"/>
      </w:pPr>
      <w:r>
        <w:rPr>
          <w:bCs/>
          <w:b/>
        </w:rPr>
        <w:t xml:space="preserve">Payment Terms:</w:t>
      </w:r>
      <w:r>
        <w:t xml:space="preserve"> </w:t>
      </w:r>
      <w:r>
        <w:t xml:space="preserve">Net 30 Days</w:t>
      </w:r>
    </w:p>
    <w:bookmarkEnd w:id="22"/>
    <w:bookmarkStart w:id="23" w:name="billed-to-client"/>
    <w:p>
      <w:pPr>
        <w:pStyle w:val="Heading3"/>
      </w:pPr>
      <w:r>
        <w:t xml:space="preserve">Billed To (Client)</w:t>
      </w:r>
    </w:p>
    <w:p>
      <w:pPr>
        <w:pStyle w:val="FirstParagraph"/>
      </w:pPr>
      <w:r>
        <w:rPr>
          <w:bCs/>
          <w:b/>
        </w:rPr>
        <w:t xml:space="preserve">Accra Commercial Litigation Partners LLC</w:t>
      </w:r>
    </w:p>
    <w:p>
      <w:pPr>
        <w:pStyle w:val="BodyText"/>
      </w:pPr>
      <w:r>
        <w:t xml:space="preserve">Attn: Mr. Daniel O. Asante, Managing Director</w:t>
      </w:r>
    </w:p>
    <w:p>
      <w:pPr>
        <w:pStyle w:val="BodyText"/>
      </w:pPr>
      <w:r>
        <w:t xml:space="preserve">45 Oxford Street, Osu Business District</w:t>
      </w:r>
    </w:p>
    <w:p>
      <w:pPr>
        <w:pStyle w:val="BodyText"/>
      </w:pPr>
      <w:r>
        <w:t xml:space="preserve">Accra, Ghana</w:t>
      </w:r>
    </w:p>
    <w:p>
      <w:pPr>
        <w:pStyle w:val="BodyText"/>
      </w:pPr>
      <w:r>
        <w:t xml:space="preserve">Tel: +233 (0)30 224 8890</w:t>
      </w:r>
    </w:p>
    <w:p>
      <w:pPr>
        <w:pStyle w:val="BodyText"/>
      </w:pPr>
      <w:r>
        <w:t xml:space="preserve">GRA TIN: 10098765432</w:t>
      </w:r>
    </w:p>
    <w:bookmarkEnd w:id="23"/>
    <w:bookmarkStart w:id="24" w:name="reference"/>
    <w:p>
      <w:pPr>
        <w:pStyle w:val="Heading3"/>
      </w:pPr>
      <w:r>
        <w:t xml:space="preserve">Reference</w:t>
      </w:r>
    </w:p>
    <w:p>
      <w:pPr>
        <w:pStyle w:val="FirstParagraph"/>
      </w:pPr>
      <w:r>
        <w:rPr>
          <w:bCs/>
          <w:b/>
        </w:rPr>
        <w:t xml:space="preserve">Case / Matter No.:</w:t>
      </w:r>
      <w:r>
        <w:t xml:space="preserve"> </w:t>
      </w:r>
      <w:r>
        <w:t xml:space="preserve">HC/ACC/2025/03312</w:t>
      </w:r>
    </w:p>
    <w:p>
      <w:pPr>
        <w:pStyle w:val="BodyText"/>
      </w:pPr>
      <w:r>
        <w:rPr>
          <w:bCs/>
          <w:b/>
        </w:rPr>
        <w:t xml:space="preserve">Engagement Letter:</w:t>
      </w:r>
      <w:r>
        <w:t xml:space="preserve"> </w:t>
      </w:r>
      <w:r>
        <w:t xml:space="preserve">EL-2025-0198</w:t>
      </w:r>
    </w:p>
    <w:p>
      <w:pPr>
        <w:pStyle w:val="BodyText"/>
      </w:pPr>
      <w:r>
        <w:rPr>
          <w:bCs/>
          <w:b/>
        </w:rPr>
        <w:t xml:space="preserve">Service Period:</w:t>
      </w:r>
      <w:r>
        <w:t xml:space="preserve"> </w:t>
      </w:r>
      <w:r>
        <w:t xml:space="preserve">1 March 2025 – 31 May 2025</w:t>
      </w:r>
    </w:p>
    <w:p>
      <w:pPr>
        <w:pStyle w:val="BodyText"/>
      </w:pPr>
      <w:r>
        <w:rPr>
          <w:bCs/>
          <w:b/>
        </w:rPr>
        <w:t xml:space="preserve">Jurisdiction:</w:t>
      </w:r>
      <w:r>
        <w:t xml:space="preserve"> </w:t>
      </w:r>
      <w:r>
        <w:t xml:space="preserve">High Court, Accra Circuit</w:t>
      </w:r>
    </w:p>
    <w:bookmarkEnd w:id="24"/>
    <w:bookmarkStart w:id="26" w:name="X5c900862c410cd2bf38b8de1bc4922a25552c74"/>
    <w:p>
      <w:pPr>
        <w:pStyle w:val="Heading2"/>
      </w:pPr>
      <w:r>
        <w:t xml:space="preserve">Description of Judicial Services Rendered</w:t>
      </w:r>
    </w:p>
    <w:p>
      <w:pPr>
        <w:pStyle w:val="FirstParagraph"/>
      </w:pPr>
      <w:r>
        <w:t xml:space="preserve">The following Invoice reflects professional services rendered by the undersigned Judge in the capacity of a judicial officer and legal arbitrator within the jurisdiction of the High Court of Ghana, Accra. All services were performed in accordance with the 1992 Constitution of the Republic of Ghana, the Courts Act, 1993 (Act 459), and applicable rules of the Ghana Judicial Service.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Presiding Judge — Commercial Dispute Hearing, Case No. HC/ACC/2025/03312 (Contractual breach between Accra Commercial Litigation Partners LLC and Northern Logistics Ltd.)</w:t>
            </w:r>
          </w:p>
        </w:tc>
        <w:tc>
          <w:tcPr/>
          <w:p>
            <w:pPr>
              <w:pStyle w:val="Compact"/>
              <w:jc w:val="left"/>
            </w:pPr>
            <w:r>
              <w:t xml:space="preserve">05 Mar 2025</w:t>
            </w:r>
          </w:p>
        </w:tc>
        <w:tc>
          <w:tcPr/>
          <w:p>
            <w:pPr>
              <w:pStyle w:val="Compact"/>
              <w:jc w:val="left"/>
            </w:pPr>
            <w:r>
              <w:t xml:space="preserve">8.0</w:t>
            </w:r>
          </w:p>
        </w:tc>
        <w:tc>
          <w:tcPr/>
          <w:p>
            <w:pPr>
              <w:pStyle w:val="Compact"/>
              <w:jc w:val="left"/>
            </w:pPr>
            <w:r>
              <w:t xml:space="preserve">GH₵ 1,200.00</w:t>
            </w:r>
          </w:p>
        </w:tc>
        <w:tc>
          <w:tcPr/>
          <w:p>
            <w:pPr>
              <w:pStyle w:val="Compact"/>
              <w:jc w:val="left"/>
            </w:pPr>
            <w:r>
              <w:t xml:space="preserve">GH₵ 9,600.00</w:t>
            </w:r>
          </w:p>
        </w:tc>
      </w:tr>
      <w:tr>
        <w:tc>
          <w:tcPr/>
          <w:p>
            <w:pPr>
              <w:pStyle w:val="Compact"/>
              <w:jc w:val="left"/>
            </w:pPr>
            <w:r>
              <w:t xml:space="preserve">2</w:t>
            </w:r>
          </w:p>
        </w:tc>
        <w:tc>
          <w:tcPr/>
          <w:p>
            <w:pPr>
              <w:pStyle w:val="Compact"/>
              <w:jc w:val="left"/>
            </w:pPr>
            <w:r>
              <w:t xml:space="preserve">Judicial Arbitration &amp; Mediation Session — Facilitated settlement conference under the Alternative Dispute Resolution Act, 2010 (Act 798), conducted at the Accra Mediation Centre</w:t>
            </w:r>
          </w:p>
        </w:tc>
        <w:tc>
          <w:tcPr/>
          <w:p>
            <w:pPr>
              <w:pStyle w:val="Compact"/>
              <w:jc w:val="left"/>
            </w:pPr>
            <w:r>
              <w:t xml:space="preserve">18 Mar 2025</w:t>
            </w:r>
          </w:p>
        </w:tc>
        <w:tc>
          <w:tcPr/>
          <w:p>
            <w:pPr>
              <w:pStyle w:val="Compact"/>
              <w:jc w:val="left"/>
            </w:pPr>
            <w:r>
              <w:t xml:space="preserve">6.0</w:t>
            </w:r>
          </w:p>
        </w:tc>
        <w:tc>
          <w:tcPr/>
          <w:p>
            <w:pPr>
              <w:pStyle w:val="Compact"/>
              <w:jc w:val="left"/>
            </w:pPr>
            <w:r>
              <w:t xml:space="preserve">GH₵ 1,400.00</w:t>
            </w:r>
          </w:p>
        </w:tc>
        <w:tc>
          <w:tcPr/>
          <w:p>
            <w:pPr>
              <w:pStyle w:val="Compact"/>
              <w:jc w:val="left"/>
            </w:pPr>
            <w:r>
              <w:t xml:space="preserve">GH₵ 8,400.00</w:t>
            </w:r>
          </w:p>
        </w:tc>
      </w:tr>
      <w:tr>
        <w:tc>
          <w:tcPr/>
          <w:p>
            <w:pPr>
              <w:pStyle w:val="Compact"/>
              <w:jc w:val="left"/>
            </w:pPr>
            <w:r>
              <w:t xml:space="preserve">3</w:t>
            </w:r>
          </w:p>
        </w:tc>
        <w:tc>
          <w:tcPr/>
          <w:p>
            <w:pPr>
              <w:pStyle w:val="Compact"/>
              <w:jc w:val="left"/>
            </w:pPr>
            <w:r>
              <w:t xml:space="preserve">Drafting and Issuance of Interim Injunction Order — Restraining further asset transfer pending final judgment in the above-referenced matter</w:t>
            </w:r>
          </w:p>
        </w:tc>
        <w:tc>
          <w:tcPr/>
          <w:p>
            <w:pPr>
              <w:pStyle w:val="Compact"/>
              <w:jc w:val="left"/>
            </w:pPr>
            <w:r>
              <w:t xml:space="preserve">22 Mar 2025</w:t>
            </w:r>
          </w:p>
        </w:tc>
        <w:tc>
          <w:tcPr/>
          <w:p>
            <w:pPr>
              <w:pStyle w:val="Compact"/>
              <w:jc w:val="left"/>
            </w:pPr>
            <w:r>
              <w:t xml:space="preserve">4.0</w:t>
            </w:r>
          </w:p>
        </w:tc>
        <w:tc>
          <w:tcPr/>
          <w:p>
            <w:pPr>
              <w:pStyle w:val="Compact"/>
              <w:jc w:val="left"/>
            </w:pPr>
            <w:r>
              <w:t xml:space="preserve">GH₵ 1,200.00</w:t>
            </w:r>
          </w:p>
        </w:tc>
        <w:tc>
          <w:tcPr/>
          <w:p>
            <w:pPr>
              <w:pStyle w:val="Compact"/>
              <w:jc w:val="left"/>
            </w:pPr>
            <w:r>
              <w:t xml:space="preserve">GH₵ 4,800.00</w:t>
            </w:r>
          </w:p>
        </w:tc>
      </w:tr>
      <w:tr>
        <w:tc>
          <w:tcPr/>
          <w:p>
            <w:pPr>
              <w:pStyle w:val="Compact"/>
              <w:jc w:val="left"/>
            </w:pPr>
            <w:r>
              <w:t xml:space="preserve">4</w:t>
            </w:r>
          </w:p>
        </w:tc>
        <w:tc>
          <w:tcPr/>
          <w:p>
            <w:pPr>
              <w:pStyle w:val="Compact"/>
              <w:jc w:val="left"/>
            </w:pPr>
            <w:r>
              <w:t xml:space="preserve">Continued Judicial Proceedings — Evidence examination, witness cross-examination, and legal argument sessions (3 court days)</w:t>
            </w:r>
          </w:p>
        </w:tc>
        <w:tc>
          <w:tcPr/>
          <w:p>
            <w:pPr>
              <w:pStyle w:val="Compact"/>
              <w:jc w:val="left"/>
            </w:pPr>
            <w:r>
              <w:t xml:space="preserve">08 Apr 2025</w:t>
            </w:r>
          </w:p>
        </w:tc>
        <w:tc>
          <w:tcPr/>
          <w:p>
            <w:pPr>
              <w:pStyle w:val="Compact"/>
              <w:jc w:val="left"/>
            </w:pPr>
            <w:r>
              <w:t xml:space="preserve">24.0</w:t>
            </w:r>
          </w:p>
        </w:tc>
        <w:tc>
          <w:tcPr/>
          <w:p>
            <w:pPr>
              <w:pStyle w:val="Compact"/>
              <w:jc w:val="left"/>
            </w:pPr>
            <w:r>
              <w:t xml:space="preserve">GH₵ 1,200.00</w:t>
            </w:r>
          </w:p>
        </w:tc>
        <w:tc>
          <w:tcPr/>
          <w:p>
            <w:pPr>
              <w:pStyle w:val="Compact"/>
              <w:jc w:val="left"/>
            </w:pPr>
            <w:r>
              <w:t xml:space="preserve">GH₵ 28,800.00</w:t>
            </w:r>
          </w:p>
        </w:tc>
      </w:tr>
      <w:tr>
        <w:tc>
          <w:tcPr/>
          <w:p>
            <w:pPr>
              <w:pStyle w:val="Compact"/>
              <w:jc w:val="left"/>
            </w:pPr>
            <w:r>
              <w:t xml:space="preserve">5</w:t>
            </w:r>
          </w:p>
        </w:tc>
        <w:tc>
          <w:tcPr/>
          <w:p>
            <w:pPr>
              <w:pStyle w:val="Compact"/>
              <w:jc w:val="left"/>
            </w:pPr>
            <w:r>
              <w:t xml:space="preserve">Judicial Review &amp; Advisory Consultation — Post-hearing legal analysis and written advisory memorandum on applicable Ghanaian commercial law principles for the client’s internal compliance team</w:t>
            </w:r>
          </w:p>
        </w:tc>
        <w:tc>
          <w:tcPr/>
          <w:p>
            <w:pPr>
              <w:pStyle w:val="Compact"/>
              <w:jc w:val="left"/>
            </w:pPr>
            <w:r>
              <w:t xml:space="preserve">15 Apr 2025</w:t>
            </w:r>
          </w:p>
        </w:tc>
        <w:tc>
          <w:tcPr/>
          <w:p>
            <w:pPr>
              <w:pStyle w:val="Compact"/>
              <w:jc w:val="left"/>
            </w:pPr>
            <w:r>
              <w:t xml:space="preserve">5.0</w:t>
            </w:r>
          </w:p>
        </w:tc>
        <w:tc>
          <w:tcPr/>
          <w:p>
            <w:pPr>
              <w:pStyle w:val="Compact"/>
              <w:jc w:val="left"/>
            </w:pPr>
            <w:r>
              <w:t xml:space="preserve">GH₵ 1,500.00</w:t>
            </w:r>
          </w:p>
        </w:tc>
        <w:tc>
          <w:tcPr/>
          <w:p>
            <w:pPr>
              <w:pStyle w:val="Compact"/>
              <w:jc w:val="left"/>
            </w:pPr>
            <w:r>
              <w:t xml:space="preserve">GH₵ 7,500.00</w:t>
            </w:r>
          </w:p>
        </w:tc>
      </w:tr>
      <w:tr>
        <w:tc>
          <w:tcPr/>
          <w:p>
            <w:pPr>
              <w:pStyle w:val="Compact"/>
              <w:jc w:val="left"/>
            </w:pPr>
            <w:r>
              <w:t xml:space="preserve">6</w:t>
            </w:r>
          </w:p>
        </w:tc>
        <w:tc>
          <w:tcPr/>
          <w:p>
            <w:pPr>
              <w:pStyle w:val="Compact"/>
              <w:jc w:val="left"/>
            </w:pPr>
            <w:r>
              <w:t xml:space="preserve">Final Judgment &amp; Ruling — Preparation, deliberation, and formal issuance of the final written judgment in Case No. HC/ACC/2025/03312, including costs assessment under the Supreme and High Courts (Civil Procedure) Rules, 2016 (L.I. 2470)</w:t>
            </w:r>
          </w:p>
        </w:tc>
        <w:tc>
          <w:tcPr/>
          <w:p>
            <w:pPr>
              <w:pStyle w:val="Compact"/>
              <w:jc w:val="left"/>
            </w:pPr>
            <w:r>
              <w:t xml:space="preserve">29 May 2025</w:t>
            </w:r>
          </w:p>
        </w:tc>
        <w:tc>
          <w:tcPr/>
          <w:p>
            <w:pPr>
              <w:pStyle w:val="Compact"/>
              <w:jc w:val="left"/>
            </w:pPr>
            <w:r>
              <w:t xml:space="preserve">10.0</w:t>
            </w:r>
          </w:p>
        </w:tc>
        <w:tc>
          <w:tcPr/>
          <w:p>
            <w:pPr>
              <w:pStyle w:val="Compact"/>
              <w:jc w:val="left"/>
            </w:pPr>
            <w:r>
              <w:t xml:space="preserve">GH₵ 1,200.00</w:t>
            </w:r>
          </w:p>
        </w:tc>
        <w:tc>
          <w:tcPr/>
          <w:p>
            <w:pPr>
              <w:pStyle w:val="Compact"/>
              <w:jc w:val="left"/>
            </w:pPr>
            <w:r>
              <w:t xml:space="preserve">GH₵ 12,000.00</w:t>
            </w:r>
          </w:p>
        </w:tc>
      </w:tr>
      <w:tr>
        <w:tc>
          <w:tcPr/>
          <w:p>
            <w:pPr>
              <w:pStyle w:val="Compact"/>
              <w:jc w:val="left"/>
            </w:pPr>
            <w:r>
              <w:t xml:space="preserve">7</w:t>
            </w:r>
          </w:p>
        </w:tc>
        <w:tc>
          <w:tcPr/>
          <w:p>
            <w:pPr>
              <w:pStyle w:val="Compact"/>
              <w:jc w:val="left"/>
            </w:pPr>
            <w:r>
              <w:t xml:space="preserve">Post-Judgment Compliance Monitoring — Supervision of enforcement proceedings and verification of compliance with the court’s order, conducted at the Accra High Court Enforcement Division</w:t>
            </w:r>
          </w:p>
        </w:tc>
        <w:tc>
          <w:tcPr/>
          <w:p>
            <w:pPr>
              <w:pStyle w:val="Compact"/>
              <w:jc w:val="left"/>
            </w:pPr>
            <w:r>
              <w:t xml:space="preserve">02 Jun 2025</w:t>
            </w:r>
          </w:p>
        </w:tc>
        <w:tc>
          <w:tcPr/>
          <w:p>
            <w:pPr>
              <w:pStyle w:val="Compact"/>
              <w:jc w:val="left"/>
            </w:pPr>
            <w:r>
              <w:t xml:space="preserve">3.0</w:t>
            </w:r>
          </w:p>
        </w:tc>
        <w:tc>
          <w:tcPr/>
          <w:p>
            <w:pPr>
              <w:pStyle w:val="Compact"/>
              <w:jc w:val="left"/>
            </w:pPr>
            <w:r>
              <w:t xml:space="preserve">GH₵ 1,200.00</w:t>
            </w:r>
          </w:p>
        </w:tc>
        <w:tc>
          <w:tcPr/>
          <w:p>
            <w:pPr>
              <w:pStyle w:val="Compact"/>
              <w:jc w:val="left"/>
            </w:pPr>
            <w:r>
              <w:t xml:space="preserve">GH₵ 3,600.00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GH₵ 74,700.00</w:t>
            </w:r>
          </w:p>
        </w:tc>
      </w:tr>
      <w:tr>
        <w:tc>
          <w:tcPr/>
          <w:p>
            <w:pPr>
              <w:pStyle w:val="Compact"/>
              <w:jc w:val="left"/>
            </w:pPr>
            <w:r>
              <w:t xml:space="preserve">VAT @ 15% (Ghana Revenue Authority)</w:t>
            </w:r>
          </w:p>
        </w:tc>
        <w:tc>
          <w:tcPr/>
          <w:p>
            <w:pPr>
              <w:pStyle w:val="Compact"/>
              <w:jc w:val="left"/>
            </w:pPr>
            <w:r>
              <w:t xml:space="preserve">GH₵ 11,205.00</w:t>
            </w:r>
          </w:p>
        </w:tc>
      </w:tr>
      <w:tr>
        <w:tc>
          <w:tcPr/>
          <w:p>
            <w:pPr>
              <w:pStyle w:val="Compact"/>
              <w:jc w:val="left"/>
            </w:pPr>
            <w:r>
              <w:t xml:space="preserve">NHIL @ 2.5%</w:t>
            </w:r>
          </w:p>
        </w:tc>
        <w:tc>
          <w:tcPr/>
          <w:p>
            <w:pPr>
              <w:pStyle w:val="Compact"/>
              <w:jc w:val="left"/>
            </w:pPr>
            <w:r>
              <w:t xml:space="preserve">GH₵ 1,867.50</w:t>
            </w:r>
          </w:p>
        </w:tc>
      </w:tr>
      <w:tr>
        <w:tc>
          <w:tcPr/>
          <w:p>
            <w:pPr>
              <w:pStyle w:val="Compact"/>
              <w:jc w:val="left"/>
            </w:pPr>
            <w:r>
              <w:t xml:space="preserve">SSNIT Levy @ 13.5%</w:t>
            </w:r>
          </w:p>
        </w:tc>
        <w:tc>
          <w:tcPr/>
          <w:p>
            <w:pPr>
              <w:pStyle w:val="Compact"/>
              <w:jc w:val="left"/>
            </w:pPr>
            <w:r>
              <w:t xml:space="preserve">GH₵ 10,084.50</w:t>
            </w:r>
          </w:p>
        </w:tc>
      </w:tr>
      <w:tr>
        <w:tc>
          <w:tcPr/>
          <w:p>
            <w:pPr>
              <w:pStyle w:val="Compact"/>
              <w:jc w:val="left"/>
            </w:pPr>
            <w:r>
              <w:t xml:space="preserve">Withholding Tax @ 7.5%</w:t>
            </w:r>
          </w:p>
        </w:tc>
        <w:tc>
          <w:tcPr/>
          <w:p>
            <w:pPr>
              <w:pStyle w:val="Compact"/>
              <w:jc w:val="left"/>
            </w:pPr>
            <w:r>
              <w:t xml:space="preserve">GH₵ 5,602.50</w:t>
            </w:r>
          </w:p>
        </w:tc>
      </w:tr>
      <w:tr>
        <w:tc>
          <w:tcPr/>
          <w:p>
            <w:pPr>
              <w:pStyle w:val="Compact"/>
              <w:jc w:val="left"/>
            </w:pPr>
            <w:r>
              <w:t xml:space="preserve">GRAND TOTAL DUE</w:t>
            </w:r>
          </w:p>
        </w:tc>
        <w:tc>
          <w:tcPr/>
          <w:p>
            <w:pPr>
              <w:pStyle w:val="Compact"/>
              <w:jc w:val="left"/>
            </w:pPr>
            <w:r>
              <w:t xml:space="preserve">GH₵ 103,460.00</w:t>
            </w:r>
          </w:p>
        </w:tc>
      </w:tr>
    </w:tbl>
    <w:bookmarkStart w:id="25"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All payments shall be made via bank transfer to the account designated by the Ghana Judicial Service, Accra Central Office, or by certified cheque payable to “Hon. Justice K.A. Mensah — Judicial Services Account.” Bank: GCB Bank, Accra Main Branch, Account No. 0012-3456-7890.</w:t>
      </w:r>
    </w:p>
    <w:p>
      <w:pPr>
        <w:numPr>
          <w:ilvl w:val="0"/>
          <w:numId w:val="1001"/>
        </w:numPr>
        <w:pStyle w:val="Compact"/>
      </w:pPr>
      <w:r>
        <w:rPr>
          <w:bCs/>
          <w:b/>
        </w:rPr>
        <w:t xml:space="preserve">Due Date:</w:t>
      </w:r>
      <w:r>
        <w:t xml:space="preserve"> </w:t>
      </w:r>
      <w:r>
        <w:t xml:space="preserve">This Invoice is payable within thirty (30) calendar days from the date of issue. Late payments shall attract a penalty interest of 2% per month in accordance with the Ghanaian Interest and Exchange Rate Act, 2013 (Act 871).</w:t>
      </w:r>
    </w:p>
    <w:p>
      <w:pPr>
        <w:numPr>
          <w:ilvl w:val="0"/>
          <w:numId w:val="1001"/>
        </w:numPr>
        <w:pStyle w:val="Compact"/>
      </w:pPr>
      <w:r>
        <w:rPr>
          <w:bCs/>
          <w:b/>
        </w:rPr>
        <w:t xml:space="preserve">Tax Compliance:</w:t>
      </w:r>
      <w:r>
        <w:t xml:space="preserve"> </w:t>
      </w:r>
      <w:r>
        <w:t xml:space="preserve">This Invoice has been issued in full compliance with the requirements of the Ghana Revenue Authority (GRA) under the Value Added Tax Act, 2013 (Act 870) and the Income Tax Act, 2015 (Act 896). The client is advised to retain this document for their statutory tax records.</w:t>
      </w:r>
    </w:p>
    <w:p>
      <w:pPr>
        <w:numPr>
          <w:ilvl w:val="0"/>
          <w:numId w:val="1001"/>
        </w:numPr>
        <w:pStyle w:val="Compact"/>
      </w:pPr>
      <w:r>
        <w:rPr>
          <w:bCs/>
          <w:b/>
        </w:rPr>
        <w:t xml:space="preserve">Judicial Independence:</w:t>
      </w:r>
      <w:r>
        <w:t xml:space="preserve"> </w:t>
      </w:r>
      <w:r>
        <w:t xml:space="preserve">The services rendered by the Judge are performed in strict adherence to the principles of judicial independence as enshrined in Article 133 of the 1992 Constitution of the Republic of Ghana. No part of this Invoice or the associated engagement shall be construed as compromising the impartiality or integrity of the judicial process.</w:t>
      </w:r>
    </w:p>
    <w:p>
      <w:pPr>
        <w:numPr>
          <w:ilvl w:val="0"/>
          <w:numId w:val="1001"/>
        </w:numPr>
        <w:pStyle w:val="Compact"/>
      </w:pPr>
      <w:r>
        <w:rPr>
          <w:bCs/>
          <w:b/>
        </w:rPr>
        <w:t xml:space="preserve">Dispute Resolution:</w:t>
      </w:r>
      <w:r>
        <w:t xml:space="preserve"> </w:t>
      </w:r>
      <w:r>
        <w:t xml:space="preserve">Any dispute arising from this Invoice or the services described herein shall be resolved through the courts of competent jurisdiction in Accra, Ghana, in accordance with the applicable laws of the Republic of Ghana.</w:t>
      </w:r>
    </w:p>
    <w:p>
      <w:pPr>
        <w:numPr>
          <w:ilvl w:val="0"/>
          <w:numId w:val="1001"/>
        </w:numPr>
        <w:pStyle w:val="Compact"/>
      </w:pPr>
      <w:r>
        <w:rPr>
          <w:bCs/>
          <w:b/>
        </w:rPr>
        <w:t xml:space="preserve">Confidentiality:</w:t>
      </w:r>
      <w:r>
        <w:t xml:space="preserve"> </w:t>
      </w:r>
      <w:r>
        <w:t xml:space="preserve">All information contained in this Invoice and the associated judicial proceedings shall be treated as confidential in accordance with the Official Secrets Act, 1963 (Act 163) and the rules of the Ghana Judicial Service.</w:t>
      </w:r>
    </w:p>
    <w:bookmarkEnd w:id="25"/>
    <w:p>
      <w:pPr>
        <w:pStyle w:val="FirstParagraph"/>
      </w:pPr>
      <w:r>
        <w:rPr>
          <w:bCs/>
          <w:b/>
        </w:rPr>
        <w:t xml:space="preserve">INVOICE INV-GHA-ACC-2025-00487</w:t>
      </w:r>
      <w:r>
        <w:t xml:space="preserve"> </w:t>
      </w:r>
      <w:r>
        <w:t xml:space="preserve">— Issued by the Office of Hon. Justice Kwame A. Mensah, Judge, High Court of Ghana, Accra.</w:t>
      </w:r>
    </w:p>
    <w:p>
      <w:pPr>
        <w:pStyle w:val="BodyText"/>
      </w:pPr>
      <w:r>
        <w:t xml:space="preserve">This Invoice constitutes a formal and binding financial document for the judicial and legal services rendered in the Republic of Ghana, Accra Metropolitan Area.</w:t>
      </w:r>
    </w:p>
    <w:p>
      <w:pPr>
        <w:pStyle w:val="BodyText"/>
      </w:pPr>
      <w:r>
        <w:t xml:space="preserve">For queries regarding this Invoice, please contact the Judicial Services Accounting Office, Supreme Court Building, 12 Independence Avenue, Accra, Ghana. Tel: +233 (0)30 277 4521 | Email: accounting@judiciary.gov.gh</w:t>
      </w:r>
    </w:p>
    <w:p>
      <w:pPr>
        <w:pStyle w:val="BodyText"/>
      </w:pPr>
      <w:r>
        <w:t xml:space="preserve">© 2025 Ghana Judicial Service — Accra. All rights reserved. This document is valid only when bearing the official seal and signature of the issuing Judge.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Ghana Accra</dc:title>
  <dc:creator/>
  <dc:language>en</dc:language>
  <cp:keywords/>
  <dcterms:created xsi:type="dcterms:W3CDTF">2026-10-10T08:35:48Z</dcterms:created>
  <dcterms:modified xsi:type="dcterms:W3CDTF">2026-10-10T08:35:48Z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