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Judge</w:t>
      </w:r>
      <w:r>
        <w:t xml:space="preserve"> </w:t>
      </w:r>
      <w:r>
        <w:t xml:space="preserve">Judicial</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Xc633dbc2a9bb4c298e62ab73517b0b9c2e71683"/>
    <w:p>
      <w:pPr>
        <w:pStyle w:val="Heading1"/>
      </w:pPr>
      <w:r>
        <w:t xml:space="preserve">JUDGE Judicial Services &amp; Legal Consultancy</w:t>
      </w:r>
    </w:p>
    <w:p>
      <w:pPr>
        <w:pStyle w:val="FirstParagraph"/>
      </w:pPr>
      <w:r>
        <w:t xml:space="preserve">Al-Mansour Judicial Tower, Floor 12</w:t>
      </w:r>
    </w:p>
    <w:p>
      <w:pPr>
        <w:pStyle w:val="BodyText"/>
      </w:pPr>
      <w:r>
        <w:t xml:space="preserve">Al-Mansour District, Baghdad, Iraq</w:t>
      </w:r>
    </w:p>
    <w:p>
      <w:pPr>
        <w:pStyle w:val="BodyText"/>
      </w:pPr>
      <w:r>
        <w:t xml:space="preserve">Tel: +964 (1) 234 5678 | Fax: +964 (1) 234 5679</w:t>
      </w:r>
    </w:p>
    <w:p>
      <w:pPr>
        <w:pStyle w:val="BodyText"/>
      </w:pPr>
      <w:r>
        <w:t xml:space="preserve">Email: billing@judge-baghdad.iq</w:t>
      </w:r>
    </w:p>
    <w:p>
      <w:pPr>
        <w:pStyle w:val="BodyText"/>
      </w:pPr>
      <w:r>
        <w:t xml:space="preserve">Commercial Registration No: IQ-BGH-2024-00871</w:t>
      </w:r>
    </w:p>
    <w:p>
      <w:pPr>
        <w:pStyle w:val="BodyText"/>
      </w:pPr>
      <w:r>
        <w:t xml:space="preserve">VAT Registration No: IQ-310-445-7821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JUDGE-BGH-2025-00417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Reference:</w:t>
      </w:r>
      <w:r>
        <w:t xml:space="preserve"> </w:t>
      </w:r>
      <w:r>
        <w:t xml:space="preserve">CT-BGH-2025-3392</w:t>
      </w:r>
    </w:p>
    <w:p>
      <w:pPr>
        <w:pStyle w:val="BodyText"/>
      </w:pPr>
      <w:r>
        <w:t xml:space="preserve">Official Invoice – Iraq Baghdad</w:t>
      </w:r>
    </w:p>
    <w:bookmarkEnd w:id="21"/>
    <w:bookmarkStart w:id="22" w:name="bill-from-service-provider"/>
    <w:p>
      <w:pPr>
        <w:pStyle w:val="Heading3"/>
      </w:pPr>
      <w:r>
        <w:t xml:space="preserve">Bill From (Service Provider)</w:t>
      </w:r>
    </w:p>
    <w:p>
      <w:pPr>
        <w:pStyle w:val="FirstParagraph"/>
      </w:pPr>
      <w:r>
        <w:rPr>
          <w:bCs/>
          <w:b/>
        </w:rPr>
        <w:t xml:space="preserve">JUDGE Judicial Services &amp; Legal Consultancy</w:t>
      </w:r>
    </w:p>
    <w:p>
      <w:pPr>
        <w:pStyle w:val="BodyText"/>
      </w:pPr>
      <w:r>
        <w:t xml:space="preserve">Al-Mansour Judicial Tower, Floor 12</w:t>
      </w:r>
    </w:p>
    <w:p>
      <w:pPr>
        <w:pStyle w:val="BodyText"/>
      </w:pPr>
      <w:r>
        <w:t xml:space="preserve">Al-Mansour District, Baghdad, Iraq</w:t>
      </w:r>
    </w:p>
    <w:p>
      <w:pPr>
        <w:pStyle w:val="BodyText"/>
      </w:pPr>
      <w:r>
        <w:t xml:space="preserve">Authorized Signatory: Judge Dr. Khalid Al-Rashid</w:t>
      </w:r>
    </w:p>
    <w:p>
      <w:pPr>
        <w:pStyle w:val="BodyText"/>
      </w:pPr>
      <w:r>
        <w:t xml:space="preserve">License No: JUD-IQ-2019-0042</w:t>
      </w:r>
    </w:p>
    <w:bookmarkEnd w:id="22"/>
    <w:bookmarkStart w:id="23" w:name="bill-to-client"/>
    <w:p>
      <w:pPr>
        <w:pStyle w:val="Heading3"/>
      </w:pPr>
      <w:r>
        <w:t xml:space="preserve">Bill To (Client)</w:t>
      </w:r>
    </w:p>
    <w:p>
      <w:pPr>
        <w:pStyle w:val="FirstParagraph"/>
      </w:pPr>
      <w:r>
        <w:rPr>
          <w:bCs/>
          <w:b/>
        </w:rPr>
        <w:t xml:space="preserve">Al-Rafidain Commercial Trading Co.</w:t>
      </w:r>
    </w:p>
    <w:p>
      <w:pPr>
        <w:pStyle w:val="BodyText"/>
      </w:pPr>
      <w:r>
        <w:t xml:space="preserve">Al-Karrada District, Baghdad, Iraq</w:t>
      </w:r>
    </w:p>
    <w:p>
      <w:pPr>
        <w:pStyle w:val="BodyText"/>
      </w:pPr>
      <w:r>
        <w:t xml:space="preserve">Attn: Mr. Hussein Al-Jabiri, General Manager</w:t>
      </w:r>
    </w:p>
    <w:p>
      <w:pPr>
        <w:pStyle w:val="BodyText"/>
      </w:pPr>
      <w:r>
        <w:t xml:space="preserve">Tel: +964 (770) 123 4567</w:t>
      </w:r>
    </w:p>
    <w:p>
      <w:pPr>
        <w:pStyle w:val="BodyText"/>
      </w:pPr>
      <w:r>
        <w:t xml:space="preserve">Email: h.aljabiri@alrafidain-trading.iq</w:t>
      </w:r>
    </w:p>
    <w:p>
      <w:pPr>
        <w:pStyle w:val="BodyText"/>
      </w:pPr>
      <w:r>
        <w:t xml:space="preserve">Tax ID: IQ-CT-2021-55830</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Judicial Service</w:t>
            </w:r>
          </w:p>
        </w:tc>
        <w:tc>
          <w:tcPr/>
          <w:p>
            <w:pPr>
              <w:pStyle w:val="Compact"/>
              <w:jc w:val="left"/>
            </w:pPr>
            <w:r>
              <w:t xml:space="preserve">Service Category</w:t>
            </w:r>
          </w:p>
        </w:tc>
        <w:tc>
          <w:tcPr/>
          <w:p>
            <w:pPr>
              <w:pStyle w:val="Compact"/>
              <w:jc w:val="left"/>
            </w:pPr>
            <w:r>
              <w:t xml:space="preserve">Date Rendered</w:t>
            </w:r>
          </w:p>
        </w:tc>
        <w:tc>
          <w:tcPr/>
          <w:p>
            <w:pPr>
              <w:pStyle w:val="Compact"/>
              <w:jc w:val="left"/>
            </w:pPr>
            <w:r>
              <w:t xml:space="preserve">Qty</w:t>
            </w:r>
          </w:p>
        </w:tc>
        <w:tc>
          <w:tcPr/>
          <w:p>
            <w:pPr>
              <w:pStyle w:val="Compact"/>
              <w:jc w:val="left"/>
            </w:pPr>
            <w:r>
              <w:t xml:space="preserve">Unit Price (IQD)</w:t>
            </w:r>
          </w:p>
        </w:tc>
        <w:tc>
          <w:tcPr/>
          <w:p>
            <w:pPr>
              <w:pStyle w:val="Compact"/>
              <w:jc w:val="left"/>
            </w:pPr>
            <w:r>
              <w:t xml:space="preserve">Amount (IQD)</w:t>
            </w:r>
          </w:p>
        </w:tc>
      </w:tr>
      <w:tr>
        <w:tc>
          <w:tcPr/>
          <w:p>
            <w:pPr>
              <w:pStyle w:val="Compact"/>
              <w:jc w:val="left"/>
            </w:pPr>
            <w:r>
              <w:t xml:space="preserve">1</w:t>
            </w:r>
          </w:p>
        </w:tc>
        <w:tc>
          <w:tcPr/>
          <w:p>
            <w:pPr>
              <w:pStyle w:val="Compact"/>
              <w:jc w:val="left"/>
            </w:pPr>
            <w:r>
              <w:t xml:space="preserve">Full judicial representation before the Baghdad Commercial Court regarding contract dispute case No. 4421/2025, including preparation of legal briefs, attendance at three court hearings, and submission of evidentiary documents.</w:t>
            </w:r>
          </w:p>
        </w:tc>
        <w:tc>
          <w:tcPr/>
          <w:p>
            <w:pPr>
              <w:pStyle w:val="Compact"/>
              <w:jc w:val="left"/>
            </w:pPr>
            <w:r>
              <w:t xml:space="preserve">Court Representation</w:t>
            </w:r>
          </w:p>
        </w:tc>
        <w:tc>
          <w:tcPr/>
          <w:p>
            <w:pPr>
              <w:pStyle w:val="Compact"/>
              <w:jc w:val="left"/>
            </w:pPr>
            <w:r>
              <w:t xml:space="preserve">02 Jun 2025</w:t>
            </w:r>
          </w:p>
        </w:tc>
        <w:tc>
          <w:tcPr/>
          <w:p>
            <w:pPr>
              <w:pStyle w:val="Compact"/>
              <w:jc w:val="left"/>
            </w:pPr>
            <w:r>
              <w:t xml:space="preserve">3 sessions</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2</w:t>
            </w:r>
          </w:p>
        </w:tc>
        <w:tc>
          <w:tcPr/>
          <w:p>
            <w:pPr>
              <w:pStyle w:val="Compact"/>
              <w:jc w:val="left"/>
            </w:pPr>
            <w:r>
              <w:t xml:space="preserve">Comprehensive legal opinion and judicial advisory memorandum on the enforceability of international trade agreements under Iraqi Commercial Law (Law No. 94 of 1997) and applicable Baghdad municipal regulations.</w:t>
            </w:r>
          </w:p>
        </w:tc>
        <w:tc>
          <w:tcPr/>
          <w:p>
            <w:pPr>
              <w:pStyle w:val="Compact"/>
              <w:jc w:val="left"/>
            </w:pPr>
            <w:r>
              <w:t xml:space="preserve">Legal Advisory</w:t>
            </w:r>
          </w:p>
        </w:tc>
        <w:tc>
          <w:tcPr/>
          <w:p>
            <w:pPr>
              <w:pStyle w:val="Compact"/>
              <w:jc w:val="left"/>
            </w:pPr>
            <w:r>
              <w:t xml:space="preserve">05 Jun 2025</w:t>
            </w:r>
          </w:p>
        </w:tc>
        <w:tc>
          <w:tcPr/>
          <w:p>
            <w:pPr>
              <w:pStyle w:val="Compact"/>
              <w:jc w:val="left"/>
            </w:pPr>
            <w:r>
              <w:t xml:space="preserve">1 report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Arbitration panel coordination and facilitation services for a commercial dispute between the client and a foreign supplier, conducted in accordance with the Iraqi Arbitration Law (Law No. 10 of 1947) at the Baghdad International Arbitration Center.</w:t>
            </w:r>
          </w:p>
        </w:tc>
        <w:tc>
          <w:tcPr/>
          <w:p>
            <w:pPr>
              <w:pStyle w:val="Compact"/>
              <w:jc w:val="left"/>
            </w:pPr>
            <w:r>
              <w:t xml:space="preserve">Arbitration Services</w:t>
            </w:r>
          </w:p>
        </w:tc>
        <w:tc>
          <w:tcPr/>
          <w:p>
            <w:pPr>
              <w:pStyle w:val="Compact"/>
              <w:jc w:val="left"/>
            </w:pPr>
            <w:r>
              <w:t xml:space="preserve">08 Jun 2025</w:t>
            </w:r>
          </w:p>
        </w:tc>
        <w:tc>
          <w:tcPr/>
          <w:p>
            <w:pPr>
              <w:pStyle w:val="Compact"/>
              <w:jc w:val="left"/>
            </w:pPr>
            <w:r>
              <w:t xml:space="preserve">2 days</w:t>
            </w:r>
          </w:p>
        </w:tc>
        <w:tc>
          <w:tcPr/>
          <w:p>
            <w:pPr>
              <w:pStyle w:val="Compact"/>
              <w:jc w:val="left"/>
            </w:pPr>
            <w:r>
              <w:t xml:space="preserve">1,500,000</w:t>
            </w:r>
          </w:p>
        </w:tc>
        <w:tc>
          <w:tcPr/>
          <w:p>
            <w:pPr>
              <w:pStyle w:val="Compact"/>
              <w:jc w:val="left"/>
            </w:pPr>
            <w:r>
              <w:t xml:space="preserve">3,000,000</w:t>
            </w:r>
          </w:p>
        </w:tc>
      </w:tr>
      <w:tr>
        <w:tc>
          <w:tcPr/>
          <w:p>
            <w:pPr>
              <w:pStyle w:val="Compact"/>
              <w:jc w:val="left"/>
            </w:pPr>
            <w:r>
              <w:t xml:space="preserve">4</w:t>
            </w:r>
          </w:p>
        </w:tc>
        <w:tc>
          <w:tcPr/>
          <w:p>
            <w:pPr>
              <w:pStyle w:val="Compact"/>
              <w:jc w:val="left"/>
            </w:pPr>
            <w:r>
              <w:t xml:space="preserve">Document authentication, notarization, and official court filing services for seventeen (17) commercial contracts requiring judicial registration with the Baghdad Notary Public Office and the Central Court Registry.</w:t>
            </w:r>
          </w:p>
        </w:tc>
        <w:tc>
          <w:tcPr/>
          <w:p>
            <w:pPr>
              <w:pStyle w:val="Compact"/>
              <w:jc w:val="left"/>
            </w:pPr>
            <w:r>
              <w:t xml:space="preserve">Notary &amp; Filing</w:t>
            </w:r>
          </w:p>
        </w:tc>
        <w:tc>
          <w:tcPr/>
          <w:p>
            <w:pPr>
              <w:pStyle w:val="Compact"/>
              <w:jc w:val="left"/>
            </w:pPr>
            <w:r>
              <w:t xml:space="preserve">10 Jun 2025</w:t>
            </w:r>
          </w:p>
        </w:tc>
        <w:tc>
          <w:tcPr/>
          <w:p>
            <w:pPr>
              <w:pStyle w:val="Compact"/>
              <w:jc w:val="left"/>
            </w:pPr>
            <w:r>
              <w:t xml:space="preserve">17 docs</w:t>
            </w:r>
          </w:p>
        </w:tc>
        <w:tc>
          <w:tcPr/>
          <w:p>
            <w:pPr>
              <w:pStyle w:val="Compact"/>
              <w:jc w:val="left"/>
            </w:pPr>
            <w:r>
              <w:t xml:space="preserve">75,000</w:t>
            </w:r>
          </w:p>
        </w:tc>
        <w:tc>
          <w:tcPr/>
          <w:p>
            <w:pPr>
              <w:pStyle w:val="Compact"/>
              <w:jc w:val="left"/>
            </w:pPr>
            <w:r>
              <w:t xml:space="preserve">1,275,000</w:t>
            </w:r>
          </w:p>
        </w:tc>
      </w:tr>
      <w:tr>
        <w:tc>
          <w:tcPr/>
          <w:p>
            <w:pPr>
              <w:pStyle w:val="Compact"/>
              <w:jc w:val="left"/>
            </w:pPr>
            <w:r>
              <w:t xml:space="preserve">5</w:t>
            </w:r>
          </w:p>
        </w:tc>
        <w:tc>
          <w:tcPr/>
          <w:p>
            <w:pPr>
              <w:pStyle w:val="Compact"/>
              <w:jc w:val="left"/>
            </w:pPr>
            <w:r>
              <w:t xml:space="preserve">Urgent judicial injunction application and enforcement proceedings before the Baghdad Civil Enforcement Court to secure assets pending resolution of the primary commercial dispute, including travel to the client's warehouse in Al-Mansour district.</w:t>
            </w:r>
          </w:p>
        </w:tc>
        <w:tc>
          <w:tcPr/>
          <w:p>
            <w:pPr>
              <w:pStyle w:val="Compact"/>
              <w:jc w:val="left"/>
            </w:pPr>
            <w:r>
              <w:t xml:space="preserve">Enforcement &amp; Injunction</w:t>
            </w:r>
          </w:p>
        </w:tc>
        <w:tc>
          <w:tcPr/>
          <w:p>
            <w:pPr>
              <w:pStyle w:val="Compact"/>
              <w:jc w:val="left"/>
            </w:pPr>
            <w:r>
              <w:t xml:space="preserve">12 Jun 2025</w:t>
            </w:r>
          </w:p>
        </w:tc>
        <w:tc>
          <w:tcPr/>
          <w:p>
            <w:pPr>
              <w:pStyle w:val="Compact"/>
              <w:jc w:val="left"/>
            </w:pPr>
            <w:r>
              <w:t xml:space="preserve">1 case</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6</w:t>
            </w:r>
          </w:p>
        </w:tc>
        <w:tc>
          <w:tcPr/>
          <w:p>
            <w:pPr>
              <w:pStyle w:val="Compact"/>
              <w:jc w:val="left"/>
            </w:pPr>
            <w:r>
              <w:t xml:space="preserve">Post-judgment compliance monitoring and quarterly legal audit of the client's operational contracts to ensure ongoing conformity with Iraqi judicial rulings and Baghdad municipal commercial licensing requirements.</w:t>
            </w:r>
          </w:p>
        </w:tc>
        <w:tc>
          <w:tcPr/>
          <w:p>
            <w:pPr>
              <w:pStyle w:val="Compact"/>
              <w:jc w:val="left"/>
            </w:pPr>
            <w:r>
              <w:t xml:space="preserve">Compliance Audit</w:t>
            </w:r>
          </w:p>
        </w:tc>
        <w:tc>
          <w:tcPr/>
          <w:p>
            <w:pPr>
              <w:pStyle w:val="Compact"/>
              <w:jc w:val="left"/>
            </w:pPr>
            <w:r>
              <w:t xml:space="preserve">14 Jun 2025</w:t>
            </w:r>
          </w:p>
        </w:tc>
        <w:tc>
          <w:tcPr/>
          <w:p>
            <w:pPr>
              <w:pStyle w:val="Compact"/>
              <w:jc w:val="left"/>
            </w:pPr>
            <w:r>
              <w:t xml:space="preserve">1 quarter</w:t>
            </w:r>
          </w:p>
        </w:tc>
        <w:tc>
          <w:tcPr/>
          <w:p>
            <w:pPr>
              <w:pStyle w:val="Compact"/>
              <w:jc w:val="left"/>
            </w:pPr>
            <w:r>
              <w:t xml:space="preserve">600,000</w:t>
            </w:r>
          </w:p>
        </w:tc>
        <w:tc>
          <w:tcPr/>
          <w:p>
            <w:pPr>
              <w:pStyle w:val="Compact"/>
              <w:jc w:val="left"/>
            </w:pPr>
            <w:r>
              <w:t xml:space="preserve">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9,575,000 IQD</w:t>
            </w:r>
          </w:p>
        </w:tc>
      </w:tr>
      <w:tr>
        <w:tc>
          <w:tcPr/>
          <w:p>
            <w:pPr>
              <w:pStyle w:val="Compact"/>
              <w:jc w:val="left"/>
            </w:pPr>
            <w:r>
              <w:t xml:space="preserve">VAT (5% – Iraq Standard Rate)</w:t>
            </w:r>
          </w:p>
        </w:tc>
        <w:tc>
          <w:tcPr/>
          <w:p>
            <w:pPr>
              <w:pStyle w:val="Compact"/>
              <w:jc w:val="right"/>
            </w:pPr>
            <w:r>
              <w:t xml:space="preserve">478,750 IQD</w:t>
            </w:r>
          </w:p>
        </w:tc>
      </w:tr>
      <w:tr>
        <w:tc>
          <w:tcPr/>
          <w:p>
            <w:pPr>
              <w:pStyle w:val="Compact"/>
              <w:jc w:val="left"/>
            </w:pPr>
            <w:r>
              <w:t xml:space="preserve">Court Filing &amp; Registry Fees (reimbursed)</w:t>
            </w:r>
          </w:p>
        </w:tc>
        <w:tc>
          <w:tcPr/>
          <w:p>
            <w:pPr>
              <w:pStyle w:val="Compact"/>
              <w:jc w:val="right"/>
            </w:pPr>
            <w:r>
              <w:t xml:space="preserve">185,000 IQD</w:t>
            </w:r>
          </w:p>
        </w:tc>
      </w:tr>
      <w:tr>
        <w:tc>
          <w:tcPr/>
          <w:p>
            <w:pPr>
              <w:pStyle w:val="Compact"/>
              <w:jc w:val="left"/>
            </w:pPr>
            <w:r>
              <w:t xml:space="preserve">Travel &amp; Logistics within Baghdad</w:t>
            </w:r>
          </w:p>
        </w:tc>
        <w:tc>
          <w:tcPr/>
          <w:p>
            <w:pPr>
              <w:pStyle w:val="Compact"/>
              <w:jc w:val="right"/>
            </w:pPr>
            <w:r>
              <w:t xml:space="preserve">45,000 IQD</w:t>
            </w:r>
          </w:p>
        </w:tc>
      </w:tr>
      <w:tr>
        <w:tc>
          <w:tcPr/>
          <w:p>
            <w:pPr>
              <w:pStyle w:val="Compact"/>
              <w:jc w:val="left"/>
            </w:pPr>
            <w:r>
              <w:t xml:space="preserve">GRAND TOTAL DUE</w:t>
            </w:r>
          </w:p>
        </w:tc>
        <w:tc>
          <w:tcPr/>
          <w:p>
            <w:pPr>
              <w:pStyle w:val="Compact"/>
              <w:jc w:val="right"/>
            </w:pPr>
            <w:r>
              <w:t xml:space="preserve">10,283,750 IQD</w:t>
            </w:r>
          </w:p>
        </w:tc>
      </w:tr>
    </w:tbl>
    <w:bookmarkStart w:id="24" w:name="payment-details"/>
    <w:p>
      <w:pPr>
        <w:pStyle w:val="Heading3"/>
      </w:pPr>
      <w:r>
        <w:t xml:space="preserve">Payment Details</w:t>
      </w:r>
    </w:p>
    <w:p>
      <w:pPr>
        <w:pStyle w:val="FirstParagraph"/>
      </w:pPr>
      <w:r>
        <w:rPr>
          <w:bCs/>
          <w:b/>
        </w:rPr>
        <w:t xml:space="preserve">Bank:</w:t>
      </w:r>
      <w:r>
        <w:t xml:space="preserve"> </w:t>
      </w:r>
      <w:r>
        <w:t xml:space="preserve">Central Bank of Iraq – Al-Rafidain Branch</w:t>
      </w:r>
    </w:p>
    <w:p>
      <w:pPr>
        <w:pStyle w:val="BodyText"/>
      </w:pPr>
      <w:r>
        <w:rPr>
          <w:bCs/>
          <w:b/>
        </w:rPr>
        <w:t xml:space="preserve">Account Name:</w:t>
      </w:r>
      <w:r>
        <w:t xml:space="preserve"> </w:t>
      </w:r>
      <w:r>
        <w:t xml:space="preserve">JUDGE Judicial Services &amp; Legal Consultancy</w:t>
      </w:r>
    </w:p>
    <w:p>
      <w:pPr>
        <w:pStyle w:val="BodyText"/>
      </w:pPr>
      <w:r>
        <w:rPr>
          <w:bCs/>
          <w:b/>
        </w:rPr>
        <w:t xml:space="preserve">IBAN:</w:t>
      </w:r>
      <w:r>
        <w:t xml:space="preserve"> </w:t>
      </w:r>
      <w:r>
        <w:t xml:space="preserve">IQ98 RAFI 0001 2345 6789 0123</w:t>
      </w:r>
    </w:p>
    <w:p>
      <w:pPr>
        <w:pStyle w:val="BodyText"/>
      </w:pPr>
      <w:r>
        <w:rPr>
          <w:bCs/>
          <w:b/>
        </w:rPr>
        <w:t xml:space="preserve">SWIFT Code:</w:t>
      </w:r>
      <w:r>
        <w:t xml:space="preserve"> </w:t>
      </w:r>
      <w:r>
        <w:t xml:space="preserve">RAFIIQBB</w:t>
      </w:r>
    </w:p>
    <w:p>
      <w:pPr>
        <w:pStyle w:val="BodyText"/>
      </w:pPr>
      <w:r>
        <w:rPr>
          <w:bCs/>
          <w:b/>
        </w:rPr>
        <w:t xml:space="preserve">Payment Method:</w:t>
      </w:r>
      <w:r>
        <w:t xml:space="preserve"> </w:t>
      </w:r>
      <w:r>
        <w:t xml:space="preserve">Bank Transfer / Cheque (payable to JUDGE Judicial Services)</w:t>
      </w:r>
    </w:p>
    <w:p>
      <w:pPr>
        <w:pStyle w:val="BodyText"/>
      </w:pPr>
      <w:r>
        <w:rPr>
          <w:bCs/>
          <w:b/>
        </w:rPr>
        <w:t xml:space="preserve">Currency:</w:t>
      </w:r>
      <w:r>
        <w:t xml:space="preserve"> </w:t>
      </w:r>
      <w:r>
        <w:t xml:space="preserve">Iraqi Dinar (IQD)</w:t>
      </w:r>
    </w:p>
    <w:bookmarkEnd w:id="24"/>
    <w:bookmarkStart w:id="25" w:name="payment-terms"/>
    <w:p>
      <w:pPr>
        <w:pStyle w:val="Heading3"/>
      </w:pPr>
      <w:r>
        <w:t xml:space="preserve">Payment Terms</w:t>
      </w:r>
    </w:p>
    <w:p>
      <w:pPr>
        <w:pStyle w:val="FirstParagraph"/>
      </w:pPr>
      <w:r>
        <w:t xml:space="preserve">Full payment is due within fifteen (15) calendar days from the issue date of this invoice, no later than 30 June 2025.</w:t>
      </w:r>
    </w:p>
    <w:p>
      <w:pPr>
        <w:pStyle w:val="BodyText"/>
      </w:pPr>
      <w:r>
        <w:t xml:space="preserve">A late payment penalty of 2% per month shall apply to any outstanding balance after the due date, in accordance with Iraqi Commercial Law provisions on contractual penalties.</w:t>
      </w:r>
    </w:p>
    <w:p>
      <w:pPr>
        <w:pStyle w:val="BodyText"/>
      </w:pPr>
      <w:r>
        <w:t xml:space="preserve">Payments must reference Invoice No. JUDGE-BGH-2025-00417.</w:t>
      </w:r>
    </w:p>
    <w:bookmarkEnd w:id="25"/>
    <w:bookmarkStart w:id="26" w:name="X1a69d42bb3858abcedb5a8d13c11818787e7c8c"/>
    <w:p>
      <w:pPr>
        <w:pStyle w:val="Heading3"/>
      </w:pPr>
      <w:r>
        <w:t xml:space="preserve">Terms and Conditions – JUDGE Judicial Services, Baghdad, Iraq</w:t>
      </w:r>
    </w:p>
    <w:p>
      <w:pPr>
        <w:numPr>
          <w:ilvl w:val="0"/>
          <w:numId w:val="1001"/>
        </w:numPr>
        <w:pStyle w:val="Compact"/>
      </w:pPr>
      <w:r>
        <w:t xml:space="preserve">This invoice constitutes a formal and binding financial document issued by JUDGE Judicial Services &amp; Legal Consultancy, a duly licensed legal entity operating under the jurisdiction of the Republic of Iraq, Baghdad Governorate.</w:t>
      </w:r>
    </w:p>
    <w:p>
      <w:pPr>
        <w:numPr>
          <w:ilvl w:val="0"/>
          <w:numId w:val="1001"/>
        </w:numPr>
        <w:pStyle w:val="Compact"/>
      </w:pPr>
      <w:r>
        <w:t xml:space="preserve">All judicial and legal services described herein have been rendered in full compliance with the Iraqi Code of Civil Procedure, the Iraqi Commercial Code, and the regulations governing legal practice in Baghdad as established by the Iraqi Bar Association.</w:t>
      </w:r>
    </w:p>
    <w:p>
      <w:pPr>
        <w:numPr>
          <w:ilvl w:val="0"/>
          <w:numId w:val="1001"/>
        </w:numPr>
        <w:pStyle w:val="Compact"/>
      </w:pPr>
      <w:r>
        <w:t xml:space="preserve">The client acknowledges that all court appearances, arbitration sessions, and enforcement actions referenced in this invoice were conducted at the designated judicial venues within Baghdad, Iraq, and all associated official court fees have been itemized separately for transparency.</w:t>
      </w:r>
    </w:p>
    <w:p>
      <w:pPr>
        <w:numPr>
          <w:ilvl w:val="0"/>
          <w:numId w:val="1001"/>
        </w:numPr>
        <w:pStyle w:val="Compact"/>
      </w:pPr>
      <w:r>
        <w:t xml:space="preserve">Confidentiality of all case materials, legal opinions, and client information is strictly maintained in accordance with Article 12 of the Iraqi Legal Profession Law and the professional ethics code of the Baghdad Bar.</w:t>
      </w:r>
    </w:p>
    <w:p>
      <w:pPr>
        <w:numPr>
          <w:ilvl w:val="0"/>
          <w:numId w:val="1001"/>
        </w:numPr>
        <w:pStyle w:val="Compact"/>
      </w:pPr>
      <w:r>
        <w:t xml:space="preserve">This invoice is valid for a period of ninety (90) days from the date of issue. Any dispute arising from this invoice shall be subject to the exclusive jurisdiction of the Baghdad Commercial Courts, Republic of Iraq.</w:t>
      </w:r>
    </w:p>
    <w:p>
      <w:pPr>
        <w:numPr>
          <w:ilvl w:val="0"/>
          <w:numId w:val="1001"/>
        </w:numPr>
        <w:pStyle w:val="Compact"/>
      </w:pPr>
      <w:r>
        <w:t xml:space="preserve">JUDGE Judicial Services reserves the right to suspend ongoing judicial representation and advisory services in the event of non-payment beyond the stipulated due date, subject to a written notice of seven (7) days.</w:t>
      </w:r>
    </w:p>
    <w:p>
      <w:pPr>
        <w:numPr>
          <w:ilvl w:val="0"/>
          <w:numId w:val="1001"/>
        </w:numPr>
        <w:pStyle w:val="Compact"/>
      </w:pPr>
      <w:r>
        <w:t xml:space="preserve">All amounts stated in this invoice are in Iraqi Dinars (IQD). No foreign currency conversion shall apply unless mutually agreed in writing by both parties.</w:t>
      </w:r>
    </w:p>
    <w:bookmarkEnd w:id="26"/>
    <w:bookmarkStart w:id="27" w:name="notes-and-remarks"/>
    <w:p>
      <w:pPr>
        <w:pStyle w:val="Heading3"/>
      </w:pPr>
      <w:r>
        <w:t xml:space="preserve">Notes and Remarks</w:t>
      </w:r>
    </w:p>
    <w:p>
      <w:pPr>
        <w:pStyle w:val="FirstParagraph"/>
      </w:pPr>
      <w:r>
        <w:t xml:space="preserve">This invoice has been prepared and issued by JUDGE Judicial Services &amp; Legal Consultancy in Baghdad, Iraq, for the exclusive use of the client named above. The services rendered pertain to active judicial proceedings and legal advisory engagements conducted within the Baghdad judicial district. The client is advised to retain this invoice for their official financial records and for any future reference in ongoing or related court matters before the Baghdad courts. Should the client require a duplicate copy or an amended version of this invoice, a written request must be submitted to the billing office at JUDGE Judicial Services, Al-Mansour Judicial Tower, Baghdad, no later than thirty (30) days from the issue date. This document is the property of JUDGE Judicial Services &amp; Legal Consultancy and may not be reproduced or distributed without prior written consent.</w:t>
      </w:r>
    </w:p>
    <w:bookmarkEnd w:id="27"/>
    <w:p>
      <w:pPr>
        <w:pStyle w:val="BodyText"/>
      </w:pPr>
      <w:r>
        <w:rPr>
          <w:bCs/>
          <w:b/>
        </w:rPr>
        <w:t xml:space="preserve">JUDGE Judicial Services &amp; Legal Consultancy</w:t>
      </w:r>
      <w:r>
        <w:t xml:space="preserve"> </w:t>
      </w:r>
      <w:r>
        <w:t xml:space="preserve">| Al-Mansour Judicial Tower, Floor 12, Al-Mansour District, Baghdad, Iraq</w:t>
      </w:r>
    </w:p>
    <w:p>
      <w:pPr>
        <w:pStyle w:val="BodyText"/>
      </w:pPr>
      <w:r>
        <w:t xml:space="preserve">Tel: +964 (1) 234 5678 | Email: billing@judge-baghdad.iq | CR: IQ-BGH-2024-00871 | VAT: IQ-310-445-7821</w:t>
      </w:r>
    </w:p>
    <w:p>
      <w:pPr>
        <w:pStyle w:val="BodyText"/>
      </w:pPr>
      <w:r>
        <w:t xml:space="preserve">This is a computer-generated official invoice issued in Baghdad, Iraq. No signature is required for validity. Invoice No. JUDGE-BGH-2025-00417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Judge Judicial Services - Iraq Baghdad</dc:title>
  <dc:creator/>
  <dc:language>en</dc:language>
  <cp:keywords/>
  <dcterms:created xsi:type="dcterms:W3CDTF">2026-10-10T06:19:02Z</dcterms:created>
  <dcterms:modified xsi:type="dcterms:W3CDTF">2026-10-10T06:19:02Z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