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invoice"/>
    <w:p>
      <w:pPr>
        <w:pStyle w:val="Heading1"/>
      </w:pPr>
      <w:r>
        <w:t xml:space="preserve">INVOICE</w:t>
      </w:r>
    </w:p>
    <w:p>
      <w:pPr>
        <w:pStyle w:val="FirstParagraph"/>
      </w:pPr>
      <w:r>
        <w:t xml:space="preserve">Judicial &amp; Legal Advisory Services — Tel Aviv, Israel</w:t>
      </w:r>
    </w:p>
    <w:p>
      <w:pPr>
        <w:pStyle w:val="BodyText"/>
      </w:pPr>
      <w:r>
        <w:t xml:space="preserve">Official Invoice for Judicial Consultation and Court-Related Services</w:t>
      </w:r>
    </w:p>
    <w:bookmarkEnd w:id="20"/>
    <w:bookmarkStart w:id="21" w:name="issued-by-service-provider"/>
    <w:p>
      <w:pPr>
        <w:pStyle w:val="Heading3"/>
      </w:pPr>
      <w:r>
        <w:t xml:space="preserve">Issued By (Service Provider)</w:t>
      </w:r>
    </w:p>
    <w:p>
      <w:pPr>
        <w:pStyle w:val="FirstParagraph"/>
      </w:pPr>
      <w:r>
        <w:rPr>
          <w:bCs/>
          <w:b/>
        </w:rPr>
        <w:t xml:space="preserve">Meridian Judicial Advisory Group Ltd.</w:t>
      </w:r>
    </w:p>
    <w:p>
      <w:pPr>
        <w:pStyle w:val="BodyText"/>
      </w:pPr>
      <w:r>
        <w:t xml:space="preserve">14 HaYarkon Street, Floor 7</w:t>
      </w:r>
    </w:p>
    <w:p>
      <w:pPr>
        <w:pStyle w:val="BodyText"/>
      </w:pPr>
      <w:r>
        <w:t xml:space="preserve">Tel Aviv-Yafo, 6971901, Israel</w:t>
      </w:r>
    </w:p>
    <w:p>
      <w:pPr>
        <w:pStyle w:val="BodyText"/>
      </w:pPr>
      <w:r>
        <w:t xml:space="preserve">VAT No.: 51-804-332-17</w:t>
      </w:r>
    </w:p>
    <w:p>
      <w:pPr>
        <w:pStyle w:val="BodyText"/>
      </w:pPr>
      <w:r>
        <w:t xml:space="preserve">Registration No.: 51-804-332-17</w:t>
      </w:r>
    </w:p>
    <w:p>
      <w:pPr>
        <w:pStyle w:val="BodyText"/>
      </w:pPr>
      <w:r>
        <w:t xml:space="preserve">Phone: +972-3-621-4487</w:t>
      </w:r>
    </w:p>
    <w:p>
      <w:pPr>
        <w:pStyle w:val="BodyText"/>
      </w:pPr>
      <w:r>
        <w:t xml:space="preserve">Email: billing@meridian-judicial.co.il</w:t>
      </w:r>
    </w:p>
    <w:bookmarkEnd w:id="21"/>
    <w:bookmarkStart w:id="22" w:name="billed-to-client"/>
    <w:p>
      <w:pPr>
        <w:pStyle w:val="Heading3"/>
      </w:pPr>
      <w:r>
        <w:t xml:space="preserve">Billed To (Client)</w:t>
      </w:r>
    </w:p>
    <w:p>
      <w:pPr>
        <w:pStyle w:val="FirstParagraph"/>
      </w:pPr>
      <w:r>
        <w:rPr>
          <w:bCs/>
          <w:b/>
        </w:rPr>
        <w:t xml:space="preserve">Shalom Ben-David, Esq.</w:t>
      </w:r>
    </w:p>
    <w:p>
      <w:pPr>
        <w:pStyle w:val="BodyText"/>
      </w:pPr>
      <w:r>
        <w:t xml:space="preserve">22 Allenby Boulevard, Suite 412</w:t>
      </w:r>
    </w:p>
    <w:p>
      <w:pPr>
        <w:pStyle w:val="BodyText"/>
      </w:pPr>
      <w:r>
        <w:t xml:space="preserve">Tel Aviv-Yafo, 6678301, Israel</w:t>
      </w:r>
    </w:p>
    <w:p>
      <w:pPr>
        <w:pStyle w:val="BodyText"/>
      </w:pPr>
      <w:r>
        <w:t xml:space="preserve">VAT No.: 51-772-901-44</w:t>
      </w:r>
    </w:p>
    <w:p>
      <w:pPr>
        <w:pStyle w:val="BodyText"/>
      </w:pPr>
      <w:r>
        <w:t xml:space="preserve">Phone: +972-52-334-8891</w:t>
      </w:r>
    </w:p>
    <w:p>
      <w:pPr>
        <w:pStyle w:val="BodyText"/>
      </w:pPr>
      <w:r>
        <w:t xml:space="preserve">Email: s.bendavid@legalmail.co.il</w:t>
      </w:r>
    </w:p>
    <w:bookmarkEnd w:id="22"/>
    <w:p>
      <w:pPr>
        <w:pStyle w:val="BodyText"/>
      </w:pPr>
      <w:r>
        <w:rPr>
          <w:bCs/>
          <w:b/>
        </w:rPr>
        <w:t xml:space="preserve">Invoice No.:</w:t>
      </w:r>
      <w:r>
        <w:t xml:space="preserve"> </w:t>
      </w:r>
      <w:r>
        <w:t xml:space="preserve">MJG-2025-04471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Service Period:</w:t>
      </w:r>
      <w:r>
        <w:t xml:space="preserve"> </w:t>
      </w:r>
      <w:r>
        <w:t xml:space="preserve">1 March 2025 – 31 May 2025</w:t>
      </w:r>
    </w:p>
    <w:p>
      <w:pPr>
        <w:pStyle w:val="BodyText"/>
      </w:pPr>
      <w:r>
        <w:rPr>
          <w:bCs/>
          <w:b/>
        </w:rPr>
        <w:t xml:space="preserve">Currency:</w:t>
      </w:r>
      <w:r>
        <w:t xml:space="preserve"> </w:t>
      </w:r>
      <w:r>
        <w:t xml:space="preserve">Israeli New Shekel (ILS / ₪)</w:t>
      </w:r>
    </w:p>
    <w:p>
      <w:pPr>
        <w:pStyle w:val="BodyText"/>
      </w:pPr>
      <w:r>
        <w:rPr>
          <w:bCs/>
          <w:b/>
        </w:rPr>
        <w:t xml:space="preserve">Reference:</w:t>
      </w:r>
      <w:r>
        <w:t xml:space="preserve"> </w:t>
      </w:r>
      <w:r>
        <w:t xml:space="preserve">Case File No. 510/2025 — District Court, Tel Aviv</w:t>
      </w:r>
    </w:p>
    <w:bookmarkStart w:id="25" w:name="X5c900862c410cd2bf38b8de1bc4922a25552c74"/>
    <w:p>
      <w:pPr>
        <w:pStyle w:val="Heading2"/>
      </w:pPr>
      <w:r>
        <w:t xml:space="preserve">Description of Judicial Services Rendered</w:t>
      </w:r>
    </w:p>
    <w:p>
      <w:pPr>
        <w:pStyle w:val="FirstParagraph"/>
      </w:pPr>
      <w:r>
        <w:t xml:space="preserve">The following invoice pertains to professional judicial advisory, court-adjacent consulting, and expert witness coordination services provided by Meridian Judicial Advisory Group Ltd. in connection with matters before the District Court of Tel Aviv, Israel. All services were rendered in accordance with the provisions of the Israeli Legal Profession Law, 5739-1978, and the applicable rules of the Israel Bar Association governing the engagement of judicial consultants and expert witnesses in Tel Aviv.</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c>
          <w:tcPr/>
          <w:p>
            <w:pPr>
              <w:pStyle w:val="Compact"/>
              <w:jc w:val="left"/>
            </w:pPr>
            <w:r>
              <w:t xml:space="preserve">VAT 18%</w:t>
            </w:r>
          </w:p>
        </w:tc>
      </w:tr>
      <w:tr>
        <w:tc>
          <w:tcPr/>
          <w:p>
            <w:pPr>
              <w:pStyle w:val="Compact"/>
              <w:jc w:val="left"/>
            </w:pPr>
            <w:r>
              <w:t xml:space="preserve">1</w:t>
            </w:r>
          </w:p>
        </w:tc>
        <w:tc>
          <w:tcPr/>
          <w:p>
            <w:pPr>
              <w:pStyle w:val="Compact"/>
              <w:jc w:val="left"/>
            </w:pPr>
            <w:r>
              <w:rPr>
                <w:bCs/>
                <w:b/>
              </w:rPr>
              <w:t xml:space="preserve">Judicial Consultation — Pre-Trial Strategy Session:</w:t>
            </w:r>
            <w:r>
              <w:t xml:space="preserve"> </w:t>
            </w:r>
            <w:r>
              <w:t xml:space="preserve">Comprehensive advisory meeting with the presiding Judge's clerk regarding procedural matters, evidentiary standards, and scheduling for the upcoming hearing at the District Court, Tel Aviv. Includes preparation of a written judicial briefing memorandum.</w:t>
            </w:r>
          </w:p>
        </w:tc>
        <w:tc>
          <w:tcPr/>
          <w:p>
            <w:pPr>
              <w:pStyle w:val="Compact"/>
              <w:jc w:val="left"/>
            </w:pPr>
            <w:r>
              <w:t xml:space="preserve">6 hours</w:t>
            </w:r>
          </w:p>
        </w:tc>
        <w:tc>
          <w:tcPr/>
          <w:p>
            <w:pPr>
              <w:pStyle w:val="Compact"/>
              <w:jc w:val="left"/>
            </w:pPr>
            <w:r>
              <w:t xml:space="preserve">₪ 1,200</w:t>
            </w:r>
          </w:p>
        </w:tc>
        <w:tc>
          <w:tcPr/>
          <w:p>
            <w:pPr>
              <w:pStyle w:val="Compact"/>
              <w:jc w:val="left"/>
            </w:pPr>
            <w:r>
              <w:t xml:space="preserve">₪ 7,200.00</w:t>
            </w:r>
          </w:p>
        </w:tc>
        <w:tc>
          <w:tcPr/>
          <w:p>
            <w:pPr>
              <w:pStyle w:val="Compact"/>
              <w:jc w:val="left"/>
            </w:pPr>
            <w:r>
              <w:t xml:space="preserve">₪ 1,296.00</w:t>
            </w:r>
          </w:p>
        </w:tc>
      </w:tr>
      <w:tr>
        <w:tc>
          <w:tcPr/>
          <w:p>
            <w:pPr>
              <w:pStyle w:val="Compact"/>
              <w:jc w:val="left"/>
            </w:pPr>
            <w:r>
              <w:t xml:space="preserve">2</w:t>
            </w:r>
          </w:p>
        </w:tc>
        <w:tc>
          <w:tcPr/>
          <w:p>
            <w:pPr>
              <w:pStyle w:val="Compact"/>
              <w:jc w:val="left"/>
            </w:pPr>
            <w:r>
              <w:rPr>
                <w:bCs/>
                <w:b/>
              </w:rPr>
              <w:t xml:space="preserve">Expert Witness Coordination for Judge's Ruling:</w:t>
            </w:r>
            <w:r>
              <w:t xml:space="preserve"> </w:t>
            </w:r>
            <w:r>
              <w:t xml:space="preserve">Arrangement, vetting, and scheduling of three (3) independent expert witnesses to provide testimony and written affidavits in support of the Judge's deliberation on the commercial dispute matter. Includes coordination with the Tel Aviv District Court registry.</w:t>
            </w:r>
          </w:p>
        </w:tc>
        <w:tc>
          <w:tcPr/>
          <w:p>
            <w:pPr>
              <w:pStyle w:val="Compact"/>
              <w:jc w:val="left"/>
            </w:pPr>
            <w:r>
              <w:t xml:space="preserve">3 sessions</w:t>
            </w:r>
          </w:p>
        </w:tc>
        <w:tc>
          <w:tcPr/>
          <w:p>
            <w:pPr>
              <w:pStyle w:val="Compact"/>
              <w:jc w:val="left"/>
            </w:pPr>
            <w:r>
              <w:t xml:space="preserve">₪ 3,500</w:t>
            </w:r>
          </w:p>
        </w:tc>
        <w:tc>
          <w:tcPr/>
          <w:p>
            <w:pPr>
              <w:pStyle w:val="Compact"/>
              <w:jc w:val="left"/>
            </w:pPr>
            <w:r>
              <w:t xml:space="preserve">₪ 10,500.00</w:t>
            </w:r>
          </w:p>
        </w:tc>
        <w:tc>
          <w:tcPr/>
          <w:p>
            <w:pPr>
              <w:pStyle w:val="Compact"/>
              <w:jc w:val="left"/>
            </w:pPr>
            <w:r>
              <w:t xml:space="preserve">₪ 1,890.00</w:t>
            </w:r>
          </w:p>
        </w:tc>
      </w:tr>
      <w:tr>
        <w:tc>
          <w:tcPr/>
          <w:p>
            <w:pPr>
              <w:pStyle w:val="Compact"/>
              <w:jc w:val="left"/>
            </w:pPr>
            <w:r>
              <w:t xml:space="preserve">3</w:t>
            </w:r>
          </w:p>
        </w:tc>
        <w:tc>
          <w:tcPr/>
          <w:p>
            <w:pPr>
              <w:pStyle w:val="Compact"/>
              <w:jc w:val="left"/>
            </w:pPr>
            <w:r>
              <w:rPr>
                <w:bCs/>
                <w:b/>
              </w:rPr>
              <w:t xml:space="preserve">Judicial Precedent Research — Tel Aviv District Court:</w:t>
            </w:r>
            <w:r>
              <w:t xml:space="preserve"> </w:t>
            </w:r>
            <w:r>
              <w:t xml:space="preserve">In-depth legal research and compilation of relevant precedents from the Tel Aviv District Court and the Supreme Court of Israel pertaining to the specific legal questions before the Judge. Delivered as a 45-page annotated research memorandum.</w:t>
            </w:r>
          </w:p>
        </w:tc>
        <w:tc>
          <w:tcPr/>
          <w:p>
            <w:pPr>
              <w:pStyle w:val="Compact"/>
              <w:jc w:val="left"/>
            </w:pPr>
            <w:r>
              <w:t xml:space="preserve">12 hours</w:t>
            </w:r>
          </w:p>
        </w:tc>
        <w:tc>
          <w:tcPr/>
          <w:p>
            <w:pPr>
              <w:pStyle w:val="Compact"/>
              <w:jc w:val="left"/>
            </w:pPr>
            <w:r>
              <w:t xml:space="preserve">₪ 950</w:t>
            </w:r>
          </w:p>
        </w:tc>
        <w:tc>
          <w:tcPr/>
          <w:p>
            <w:pPr>
              <w:pStyle w:val="Compact"/>
              <w:jc w:val="left"/>
            </w:pPr>
            <w:r>
              <w:t xml:space="preserve">₪ 11,400.00</w:t>
            </w:r>
          </w:p>
        </w:tc>
        <w:tc>
          <w:tcPr/>
          <w:p>
            <w:pPr>
              <w:pStyle w:val="Compact"/>
              <w:jc w:val="left"/>
            </w:pPr>
            <w:r>
              <w:t xml:space="preserve">₪ 2,052.00</w:t>
            </w:r>
          </w:p>
        </w:tc>
      </w:tr>
      <w:tr>
        <w:tc>
          <w:tcPr/>
          <w:p>
            <w:pPr>
              <w:pStyle w:val="Compact"/>
              <w:jc w:val="left"/>
            </w:pPr>
            <w:r>
              <w:t xml:space="preserve">4</w:t>
            </w:r>
          </w:p>
        </w:tc>
        <w:tc>
          <w:tcPr/>
          <w:p>
            <w:pPr>
              <w:pStyle w:val="Compact"/>
              <w:jc w:val="left"/>
            </w:pPr>
            <w:r>
              <w:rPr>
                <w:bCs/>
                <w:b/>
              </w:rPr>
              <w:t xml:space="preserve">Courtroom Support — Judge's Hearing (12 April 2025):</w:t>
            </w:r>
            <w:r>
              <w:t xml:space="preserve"> </w:t>
            </w:r>
            <w:r>
              <w:t xml:space="preserve">On-site support during the Judge's hearing at the Tel Aviv District Court, including real-time legal reference retrieval, translation coordination (Hebrew/English), and post-hearing summary preparation for the Judge's chambers.</w:t>
            </w:r>
          </w:p>
        </w:tc>
        <w:tc>
          <w:tcPr/>
          <w:p>
            <w:pPr>
              <w:pStyle w:val="Compact"/>
              <w:jc w:val="left"/>
            </w:pPr>
            <w:r>
              <w:t xml:space="preserve">1 day</w:t>
            </w:r>
          </w:p>
        </w:tc>
        <w:tc>
          <w:tcPr/>
          <w:p>
            <w:pPr>
              <w:pStyle w:val="Compact"/>
              <w:jc w:val="left"/>
            </w:pPr>
            <w:r>
              <w:t xml:space="preserve">₪ 4,800</w:t>
            </w:r>
          </w:p>
        </w:tc>
        <w:tc>
          <w:tcPr/>
          <w:p>
            <w:pPr>
              <w:pStyle w:val="Compact"/>
              <w:jc w:val="left"/>
            </w:pPr>
            <w:r>
              <w:t xml:space="preserve">₪ 4,800.00</w:t>
            </w:r>
          </w:p>
        </w:tc>
        <w:tc>
          <w:tcPr/>
          <w:p>
            <w:pPr>
              <w:pStyle w:val="Compact"/>
              <w:jc w:val="left"/>
            </w:pPr>
            <w:r>
              <w:t xml:space="preserve">₪ 864.00</w:t>
            </w:r>
          </w:p>
        </w:tc>
      </w:tr>
      <w:tr>
        <w:tc>
          <w:tcPr/>
          <w:p>
            <w:pPr>
              <w:pStyle w:val="Compact"/>
              <w:jc w:val="left"/>
            </w:pPr>
            <w:r>
              <w:t xml:space="preserve">5</w:t>
            </w:r>
          </w:p>
        </w:tc>
        <w:tc>
          <w:tcPr/>
          <w:p>
            <w:pPr>
              <w:pStyle w:val="Compact"/>
              <w:jc w:val="left"/>
            </w:pPr>
            <w:r>
              <w:rPr>
                <w:bCs/>
                <w:b/>
              </w:rPr>
              <w:t xml:space="preserve">Judicial Ethics &amp; Compliance Review:</w:t>
            </w:r>
            <w:r>
              <w:t xml:space="preserve"> </w:t>
            </w:r>
            <w:r>
              <w:t xml:space="preserve">Review of all procedural steps taken during the case to ensure full compliance with the Israeli Code of Judicial Ethics and the rules governing the conduct of proceedings before the Tel Aviv District Court. Includes a written compliance certification.</w:t>
            </w:r>
          </w:p>
        </w:tc>
        <w:tc>
          <w:tcPr/>
          <w:p>
            <w:pPr>
              <w:pStyle w:val="Compact"/>
              <w:jc w:val="left"/>
            </w:pPr>
            <w:r>
              <w:t xml:space="preserve">4 hours</w:t>
            </w:r>
          </w:p>
        </w:tc>
        <w:tc>
          <w:tcPr/>
          <w:p>
            <w:pPr>
              <w:pStyle w:val="Compact"/>
              <w:jc w:val="left"/>
            </w:pPr>
            <w:r>
              <w:t xml:space="preserve">₪ 1,100</w:t>
            </w:r>
          </w:p>
        </w:tc>
        <w:tc>
          <w:tcPr/>
          <w:p>
            <w:pPr>
              <w:pStyle w:val="Compact"/>
              <w:jc w:val="left"/>
            </w:pPr>
            <w:r>
              <w:t xml:space="preserve">₪ 4,400.00</w:t>
            </w:r>
          </w:p>
        </w:tc>
        <w:tc>
          <w:tcPr/>
          <w:p>
            <w:pPr>
              <w:pStyle w:val="Compact"/>
              <w:jc w:val="left"/>
            </w:pPr>
            <w:r>
              <w:t xml:space="preserve">₪ 792.00</w:t>
            </w:r>
          </w:p>
        </w:tc>
      </w:tr>
      <w:tr>
        <w:tc>
          <w:tcPr/>
          <w:p>
            <w:pPr>
              <w:pStyle w:val="Compact"/>
              <w:jc w:val="left"/>
            </w:pPr>
            <w:r>
              <w:t xml:space="preserve">6</w:t>
            </w:r>
          </w:p>
        </w:tc>
        <w:tc>
          <w:tcPr/>
          <w:p>
            <w:pPr>
              <w:pStyle w:val="Compact"/>
              <w:jc w:val="left"/>
            </w:pPr>
            <w:r>
              <w:rPr>
                <w:bCs/>
                <w:b/>
              </w:rPr>
              <w:t xml:space="preserve">Post-Ruling Judicial Advisory — Implementation Guidance:</w:t>
            </w:r>
            <w:r>
              <w:t xml:space="preserve"> </w:t>
            </w:r>
            <w:r>
              <w:t xml:space="preserve">Advisory session following the Judge's written ruling (dated 28 May 2025) to assist the client in understanding the Judge's directives, compliance timelines, and any required follow-up filings with the Tel Aviv District Court.</w:t>
            </w:r>
          </w:p>
        </w:tc>
        <w:tc>
          <w:tcPr/>
          <w:p>
            <w:pPr>
              <w:pStyle w:val="Compact"/>
              <w:jc w:val="left"/>
            </w:pPr>
            <w:r>
              <w:t xml:space="preserve">3 hours</w:t>
            </w:r>
          </w:p>
        </w:tc>
        <w:tc>
          <w:tcPr/>
          <w:p>
            <w:pPr>
              <w:pStyle w:val="Compact"/>
              <w:jc w:val="left"/>
            </w:pPr>
            <w:r>
              <w:t xml:space="preserve">₪ 1,200</w:t>
            </w:r>
          </w:p>
        </w:tc>
        <w:tc>
          <w:tcPr/>
          <w:p>
            <w:pPr>
              <w:pStyle w:val="Compact"/>
              <w:jc w:val="left"/>
            </w:pPr>
            <w:r>
              <w:t xml:space="preserve">₪ 3,600.00</w:t>
            </w:r>
          </w:p>
        </w:tc>
        <w:tc>
          <w:tcPr/>
          <w:p>
            <w:pPr>
              <w:pStyle w:val="Compact"/>
              <w:jc w:val="left"/>
            </w:pPr>
            <w:r>
              <w:t xml:space="preserve">₪ 648.00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41,900.00</w:t>
            </w:r>
          </w:p>
        </w:tc>
      </w:tr>
      <w:tr>
        <w:tc>
          <w:tcPr/>
          <w:p>
            <w:pPr>
              <w:pStyle w:val="Compact"/>
              <w:jc w:val="left"/>
            </w:pPr>
            <w:r>
              <w:t xml:space="preserve">VAT (18%)</w:t>
            </w:r>
          </w:p>
        </w:tc>
        <w:tc>
          <w:tcPr/>
          <w:p>
            <w:pPr>
              <w:pStyle w:val="Compact"/>
              <w:jc w:val="right"/>
            </w:pPr>
            <w:r>
              <w:t xml:space="preserve">₪ 7,542.00</w:t>
            </w:r>
          </w:p>
        </w:tc>
      </w:tr>
      <w:tr>
        <w:tc>
          <w:tcPr/>
          <w:p>
            <w:pPr>
              <w:pStyle w:val="Compact"/>
              <w:jc w:val="left"/>
            </w:pPr>
            <w:r>
              <w:t xml:space="preserve">Grand Total (Incl. VAT)</w:t>
            </w:r>
          </w:p>
        </w:tc>
        <w:tc>
          <w:tcPr/>
          <w:p>
            <w:pPr>
              <w:pStyle w:val="Compact"/>
              <w:jc w:val="right"/>
            </w:pPr>
            <w:r>
              <w:t xml:space="preserve">₪ 49,442.00</w:t>
            </w:r>
          </w:p>
        </w:tc>
      </w:tr>
    </w:tbl>
    <w:bookmarkStart w:id="23" w:name="payment-terms-important-notices"/>
    <w:p>
      <w:pPr>
        <w:pStyle w:val="Heading3"/>
      </w:pPr>
      <w:r>
        <w:t xml:space="preserve">Payment Terms &amp; Important Notices</w:t>
      </w:r>
    </w:p>
    <w:p>
      <w:pPr>
        <w:numPr>
          <w:ilvl w:val="0"/>
          <w:numId w:val="1001"/>
        </w:numPr>
        <w:pStyle w:val="Compact"/>
      </w:pPr>
      <w:r>
        <w:rPr>
          <w:bCs/>
          <w:b/>
        </w:rPr>
        <w:t xml:space="preserve">Payment Due:</w:t>
      </w:r>
      <w:r>
        <w:t xml:space="preserve"> </w:t>
      </w:r>
      <w:r>
        <w:t xml:space="preserve">Full payment of this invoice is due within thirty (30) calendar days from the invoice date, i.e., no later than 14 July 2025. Payment shall be made in Israeli New Shekels (ILS) via bank transfer to the account specified below.</w:t>
      </w:r>
    </w:p>
    <w:p>
      <w:pPr>
        <w:numPr>
          <w:ilvl w:val="0"/>
          <w:numId w:val="1001"/>
        </w:numPr>
        <w:pStyle w:val="Compact"/>
      </w:pPr>
      <w:r>
        <w:rPr>
          <w:bCs/>
          <w:b/>
        </w:rPr>
        <w:t xml:space="preserve">Bank Details:</w:t>
      </w:r>
      <w:r>
        <w:t xml:space="preserve"> </w:t>
      </w:r>
      <w:r>
        <w:t xml:space="preserve">Bank of Israel / Bank Leumi, Branch: Tel Aviv Central. Account Name: Meridian Judicial Advisory Group Ltd. Account No.: 001-4477-8821. IBAN: IL12 0120 0000 0000 4477 8821. SWIFT: LUMIILTT.</w:t>
      </w:r>
    </w:p>
    <w:p>
      <w:pPr>
        <w:numPr>
          <w:ilvl w:val="0"/>
          <w:numId w:val="1001"/>
        </w:numPr>
        <w:pStyle w:val="Compact"/>
      </w:pPr>
      <w:r>
        <w:rPr>
          <w:bCs/>
          <w:b/>
        </w:rPr>
        <w:t xml:space="preserve">Late Payment:</w:t>
      </w:r>
      <w:r>
        <w:t xml:space="preserve"> </w:t>
      </w:r>
      <w:r>
        <w:t xml:space="preserve">In accordance with the Israeli Late Payment Law, 5765-2005, a late payment interest of 1.5% per month (18% per annum) shall accrue on any outstanding balance after the due date. Additionally, a fixed late payment fee of ₪ 100 shall apply as mandated by the Israeli Consumer Protection Law.</w:t>
      </w:r>
    </w:p>
    <w:p>
      <w:pPr>
        <w:numPr>
          <w:ilvl w:val="0"/>
          <w:numId w:val="1001"/>
        </w:numPr>
        <w:pStyle w:val="Compact"/>
      </w:pPr>
      <w:r>
        <w:rPr>
          <w:bCs/>
          <w:b/>
        </w:rPr>
        <w:t xml:space="preserve">Judicial Confidentiality:</w:t>
      </w:r>
      <w:r>
        <w:t xml:space="preserve"> </w:t>
      </w:r>
      <w:r>
        <w:t xml:space="preserve">All services described in this invoice were performed under strict judicial confidentiality obligations as required by the Israeli Courts Law, 5724-1984, and the rules of the Tel Aviv District Court. No information pertaining to the Judge, the proceedings, or the parties involved shall be disclosed to any third party without written consent.</w:t>
      </w:r>
    </w:p>
    <w:p>
      <w:pPr>
        <w:numPr>
          <w:ilvl w:val="0"/>
          <w:numId w:val="1001"/>
        </w:numPr>
        <w:pStyle w:val="Compact"/>
      </w:pPr>
      <w:r>
        <w:rPr>
          <w:bCs/>
          <w:b/>
        </w:rPr>
        <w:t xml:space="preserve">Dispute Resolution:</w:t>
      </w:r>
      <w:r>
        <w:t xml:space="preserve"> </w:t>
      </w:r>
      <w:r>
        <w:t xml:space="preserve">Any dispute arising from this invoice or the services rendered shall be subject to the exclusive jurisdiction of the Tel Aviv District Court, Israel, in accordance with the Israeli Civil Procedure Rules.</w:t>
      </w:r>
    </w:p>
    <w:p>
      <w:pPr>
        <w:numPr>
          <w:ilvl w:val="0"/>
          <w:numId w:val="1001"/>
        </w:numPr>
        <w:pStyle w:val="Compact"/>
      </w:pPr>
      <w:r>
        <w:rPr>
          <w:bCs/>
          <w:b/>
        </w:rPr>
        <w:t xml:space="preserve">Tax Note:</w:t>
      </w:r>
      <w:r>
        <w:t xml:space="preserve"> </w:t>
      </w:r>
      <w:r>
        <w:t xml:space="preserve">This invoice is issued in compliance with the Israeli Value Added Tax Law, 5736-1975. The VAT rate of 18% is applied as per the current rate in force in Israel. A VAT receipt may be requested separately from the issuer's accounting department in Tel Aviv.</w:t>
      </w:r>
    </w:p>
    <w:p>
      <w:pPr>
        <w:numPr>
          <w:ilvl w:val="0"/>
          <w:numId w:val="1001"/>
        </w:numPr>
        <w:pStyle w:val="Compact"/>
      </w:pPr>
      <w:r>
        <w:rPr>
          <w:bCs/>
          <w:b/>
        </w:rPr>
        <w:t xml:space="preserve">Service Jurisdiction:</w:t>
      </w:r>
      <w:r>
        <w:t xml:space="preserve"> </w:t>
      </w:r>
      <w:r>
        <w:t xml:space="preserve">All judicial advisory services referenced in this invoice were conducted within the jurisdiction of the Tel Aviv District Court and in accordance with the procedural rules applicable to the State of Israel. The engagement of judicial consultants and expert witnesses was authorized under the relevant provisions of the Israeli Courts Law and the Rules of Evidence, 5731-1971.</w:t>
      </w:r>
    </w:p>
    <w:bookmarkEnd w:id="23"/>
    <w:bookmarkStart w:id="24" w:name="authorized-signatory"/>
    <w:p>
      <w:pPr>
        <w:pStyle w:val="Heading3"/>
      </w:pPr>
      <w:r>
        <w:t xml:space="preserve">Authorized Signatory</w:t>
      </w:r>
    </w:p>
    <w:p>
      <w:pPr>
        <w:pStyle w:val="FirstParagraph"/>
      </w:pPr>
      <w:r>
        <w:rPr>
          <w:bCs/>
          <w:b/>
        </w:rPr>
        <w:t xml:space="preserve">Dr. Miriam Katz, C.J. (Ret.)</w:t>
      </w:r>
      <w:r>
        <w:br/>
      </w:r>
      <w:r>
        <w:t xml:space="preserve">Managing Director &amp; Lead Judicial Consultant</w:t>
      </w:r>
      <w:r>
        <w:br/>
      </w:r>
      <w:r>
        <w:t xml:space="preserve">Meridian Judicial Advisory Group Ltd., Tel Aviv, Israel</w:t>
      </w:r>
      <w:r>
        <w:br/>
      </w:r>
      <w:r>
        <w:t xml:space="preserve">Israel Bar Association License No.: 114-2003-7782</w:t>
      </w:r>
      <w:r>
        <w:br/>
      </w:r>
      <w:r>
        <w:rPr>
          <w:iCs/>
          <w:i/>
        </w:rPr>
        <w:t xml:space="preserve">Signature: ___________________________     Date: 14 June 2025</w:t>
      </w:r>
    </w:p>
    <w:bookmarkEnd w:id="24"/>
    <w:p>
      <w:pPr>
        <w:pStyle w:val="BodyText"/>
      </w:pPr>
      <w:r>
        <w:rPr>
          <w:bCs/>
          <w:b/>
        </w:rPr>
        <w:t xml:space="preserve">Meridian Judicial Advisory Group Ltd.</w:t>
      </w:r>
      <w:r>
        <w:t xml:space="preserve"> </w:t>
      </w:r>
      <w:r>
        <w:t xml:space="preserve">— 14 HaYarkon Street, Tel Aviv-Yafo 6971901, Israel</w:t>
      </w:r>
    </w:p>
    <w:p>
      <w:pPr>
        <w:pStyle w:val="BodyText"/>
      </w:pPr>
      <w:r>
        <w:t xml:space="preserve">VAT: 51-804-332-17 | Tel: +972-3-621-4487 | Email: billing@meridian-judicial.co.il</w:t>
      </w:r>
    </w:p>
    <w:p>
      <w:pPr>
        <w:pStyle w:val="BodyText"/>
      </w:pPr>
      <w:r>
        <w:t xml:space="preserve">This is a computer-generated invoice and is valid without a physical signature. This document constitutes a legally binding invoice under the laws of the State of Israel.</w:t>
      </w:r>
    </w:p>
    <w:p>
      <w:pPr>
        <w:pStyle w:val="BodyText"/>
      </w:pPr>
      <w:r>
        <w:t xml:space="preserve">Invoice MJG-2025-04471 | Generated: 14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Tel Aviv, Israel</dc:title>
  <dc:creator/>
  <dc:language>en</dc:language>
  <cp:keywords/>
  <dcterms:created xsi:type="dcterms:W3CDTF">2026-10-10T08:37:28Z</dcterms:created>
  <dcterms:modified xsi:type="dcterms:W3CDTF">2026-10-10T08:37:28Z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