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Kuwait</w:t>
      </w:r>
      <w:r>
        <w:t xml:space="preserve"> </w:t>
      </w:r>
      <w:r>
        <w:t xml:space="preserve">City,</w:t>
      </w:r>
      <w:r>
        <w:t xml:space="preserve"> </w:t>
      </w:r>
      <w:r>
        <w:t xml:space="preserve">Kuwait</w:t>
      </w:r>
    </w:p>
    <w:bookmarkStart w:id="20" w:name="invoice"/>
    <w:p>
      <w:pPr>
        <w:pStyle w:val="Heading1"/>
      </w:pPr>
      <w:r>
        <w:t xml:space="preserve">INVOICE</w:t>
      </w:r>
    </w:p>
    <w:p>
      <w:pPr>
        <w:pStyle w:val="FirstParagraph"/>
      </w:pPr>
      <w:r>
        <w:t xml:space="preserve">Judicial Services &amp; Legal Proceedings Documentation</w:t>
      </w:r>
    </w:p>
    <w:p>
      <w:pPr>
        <w:pStyle w:val="BodyText"/>
      </w:pPr>
      <w:r>
        <w:t xml:space="preserve">Kuwait City, Kuwait</w:t>
      </w:r>
    </w:p>
    <w:bookmarkEnd w:id="20"/>
    <w:p>
      <w:pPr>
        <w:pStyle w:val="BodyText"/>
      </w:pPr>
      <w:r>
        <w:t xml:space="preserve">Invoice Number</w:t>
      </w:r>
    </w:p>
    <w:p>
      <w:pPr>
        <w:pStyle w:val="BodyText"/>
      </w:pPr>
      <w:r>
        <w:t xml:space="preserve">KWT-JDG-2025-04782</w:t>
      </w:r>
    </w:p>
    <w:p>
      <w:pPr>
        <w:pStyle w:val="BodyText"/>
      </w:pPr>
      <w:r>
        <w:t xml:space="preserve">Date of Issue</w:t>
      </w:r>
    </w:p>
    <w:p>
      <w:pPr>
        <w:pStyle w:val="BodyText"/>
      </w:pPr>
      <w:r>
        <w:t xml:space="preserve">15 June 2025</w:t>
      </w:r>
    </w:p>
    <w:p>
      <w:pPr>
        <w:pStyle w:val="BodyText"/>
      </w:pPr>
      <w:r>
        <w:t xml:space="preserve">Due Date</w:t>
      </w:r>
    </w:p>
    <w:p>
      <w:pPr>
        <w:pStyle w:val="BodyText"/>
      </w:pPr>
      <w:r>
        <w:t xml:space="preserve">15 July 2025</w:t>
      </w:r>
    </w:p>
    <w:p>
      <w:pPr>
        <w:pStyle w:val="BodyText"/>
      </w:pPr>
      <w:r>
        <w:t xml:space="preserve">Currency</w:t>
      </w:r>
    </w:p>
    <w:p>
      <w:pPr>
        <w:pStyle w:val="BodyText"/>
      </w:pPr>
      <w:r>
        <w:t xml:space="preserve">Kuwaiti Dinar (KWD)</w:t>
      </w:r>
    </w:p>
    <w:bookmarkStart w:id="21" w:name="billed-by-service-provider"/>
    <w:p>
      <w:pPr>
        <w:pStyle w:val="Heading3"/>
      </w:pPr>
      <w:r>
        <w:t xml:space="preserve">Billed By (Service Provider)</w:t>
      </w:r>
    </w:p>
    <w:p>
      <w:pPr>
        <w:pStyle w:val="FirstParagraph"/>
      </w:pPr>
      <w:r>
        <w:rPr>
          <w:bCs/>
          <w:b/>
        </w:rPr>
        <w:t xml:space="preserve">The Honorable Judge Khalid Al-Mubarak Al-Sabah</w:t>
      </w:r>
    </w:p>
    <w:p>
      <w:pPr>
        <w:pStyle w:val="BodyText"/>
      </w:pPr>
      <w:r>
        <w:t xml:space="preserve">Senior Judicial Officer, Civil &amp; Commercial Division</w:t>
      </w:r>
    </w:p>
    <w:p>
      <w:pPr>
        <w:pStyle w:val="BodyText"/>
      </w:pPr>
      <w:r>
        <w:t xml:space="preserve">Supreme Court of Kuwait</w:t>
      </w:r>
    </w:p>
    <w:p>
      <w:pPr>
        <w:pStyle w:val="BodyText"/>
      </w:pPr>
      <w:r>
        <w:t xml:space="preserve">Al-Ma'adeen District, Kuwait City</w:t>
      </w:r>
    </w:p>
    <w:p>
      <w:pPr>
        <w:pStyle w:val="BodyText"/>
      </w:pPr>
      <w:r>
        <w:t xml:space="preserve">State of Kuwait</w:t>
      </w:r>
    </w:p>
    <w:p>
      <w:pPr>
        <w:pStyle w:val="BodyText"/>
      </w:pPr>
      <w:r>
        <w:t xml:space="preserve">Tel: +965-2244-7800</w:t>
      </w:r>
    </w:p>
    <w:p>
      <w:pPr>
        <w:pStyle w:val="BodyText"/>
      </w:pPr>
      <w:r>
        <w:t xml:space="preserve">Email: judicial.services@courts.gov.kw</w:t>
      </w:r>
    </w:p>
    <w:bookmarkEnd w:id="21"/>
    <w:bookmarkStart w:id="22" w:name="billed-to-client-paying-party"/>
    <w:p>
      <w:pPr>
        <w:pStyle w:val="Heading3"/>
      </w:pPr>
      <w:r>
        <w:t xml:space="preserve">Billed To (Client / Paying Party)</w:t>
      </w:r>
    </w:p>
    <w:p>
      <w:pPr>
        <w:pStyle w:val="FirstParagraph"/>
      </w:pPr>
      <w:r>
        <w:rPr>
          <w:bCs/>
          <w:b/>
        </w:rPr>
        <w:t xml:space="preserve">Al-Nakheel Commercial Holdings W.L.L.</w:t>
      </w:r>
    </w:p>
    <w:p>
      <w:pPr>
        <w:pStyle w:val="BodyText"/>
      </w:pPr>
      <w:r>
        <w:t xml:space="preserve">Attn: Mr. Faisal Al-Rashidi, General Counsel</w:t>
      </w:r>
    </w:p>
    <w:p>
      <w:pPr>
        <w:pStyle w:val="BodyText"/>
      </w:pPr>
      <w:r>
        <w:t xml:space="preserve">Office 12, Al-Salem Tower, Al-Salem Street</w:t>
      </w:r>
    </w:p>
    <w:p>
      <w:pPr>
        <w:pStyle w:val="BodyText"/>
      </w:pPr>
      <w:r>
        <w:t xml:space="preserve">Salmiya, Kuwait City, Kuwait</w:t>
      </w:r>
    </w:p>
    <w:p>
      <w:pPr>
        <w:pStyle w:val="BodyText"/>
      </w:pPr>
      <w:r>
        <w:t xml:space="preserve">Tel: +965-2480-3311</w:t>
      </w:r>
    </w:p>
    <w:p>
      <w:pPr>
        <w:pStyle w:val="BodyText"/>
      </w:pPr>
      <w:r>
        <w:t xml:space="preserve">Email: legal@alnakheel-holdings.com</w:t>
      </w:r>
    </w:p>
    <w:p>
      <w:pPr>
        <w:pStyle w:val="BodyText"/>
      </w:pPr>
      <w:r>
        <w:t xml:space="preserve">Commercial Registration No.: 184729</w:t>
      </w:r>
    </w:p>
    <w:bookmarkEnd w:id="22"/>
    <w:bookmarkStart w:id="25" w:name="X5c900862c410cd2bf38b8de1bc4922a25552c74"/>
    <w:p>
      <w:pPr>
        <w:pStyle w:val="Heading2"/>
      </w:pPr>
      <w:r>
        <w:t xml:space="preserve">Description of Judicial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Case / Docket No.</w:t>
            </w:r>
          </w:p>
        </w:tc>
        <w:tc>
          <w:tcPr/>
          <w:p>
            <w:pPr>
              <w:pStyle w:val="Compact"/>
              <w:jc w:val="left"/>
            </w:pPr>
            <w:r>
              <w:t xml:space="preserve">Date of Service</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Presiding Judge hearing and adjudication of commercial dispute regarding breach of supply contract between Al-Nakheel Commercial Holdings and Gulf Logistics Partners. Full oral argument conducted in the courtroom at the Kuwait City Judicial Complex.</w:t>
            </w:r>
          </w:p>
        </w:tc>
        <w:tc>
          <w:tcPr/>
          <w:p>
            <w:pPr>
              <w:pStyle w:val="Compact"/>
              <w:jc w:val="left"/>
            </w:pPr>
            <w:r>
              <w:t xml:space="preserve">CIV-2025-3341</w:t>
            </w:r>
          </w:p>
        </w:tc>
        <w:tc>
          <w:tcPr/>
          <w:p>
            <w:pPr>
              <w:pStyle w:val="Compact"/>
              <w:jc w:val="left"/>
            </w:pPr>
            <w:r>
              <w:t xml:space="preserve">03 May 2025</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Judicial review and written ruling (judgment) on the aforementioned commercial matter, including detailed legal reasoning, evidentiary assessment, and final disposition of claims filed before the Judge in Kuwait City.</w:t>
            </w:r>
          </w:p>
        </w:tc>
        <w:tc>
          <w:tcPr/>
          <w:p>
            <w:pPr>
              <w:pStyle w:val="Compact"/>
              <w:jc w:val="left"/>
            </w:pPr>
            <w:r>
              <w:t xml:space="preserve">CIV-2025-3341</w:t>
            </w:r>
          </w:p>
        </w:tc>
        <w:tc>
          <w:tcPr/>
          <w:p>
            <w:pPr>
              <w:pStyle w:val="Compact"/>
              <w:jc w:val="left"/>
            </w:pPr>
            <w:r>
              <w:t xml:space="preserve">28 May 2025</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Expedited judicial mediation session presided over by the assigned Judge to facilitate settlement discussions between the parties. Conducted at the Alternative Dispute Resolution Center, Kuwait City, in accordance with Kuwaiti Civil Procedure Law.</w:t>
            </w:r>
          </w:p>
        </w:tc>
        <w:tc>
          <w:tcPr/>
          <w:p>
            <w:pPr>
              <w:pStyle w:val="Compact"/>
              <w:jc w:val="left"/>
            </w:pPr>
            <w:r>
              <w:t xml:space="preserve">MED-2025-0892</w:t>
            </w:r>
          </w:p>
        </w:tc>
        <w:tc>
          <w:tcPr/>
          <w:p>
            <w:pPr>
              <w:pStyle w:val="Compact"/>
              <w:jc w:val="left"/>
            </w:pPr>
            <w:r>
              <w:t xml:space="preserve">10 June 2025</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Issuance of a court-ordered injunction (interim relief) by the Judge to prevent the opposing party from disposing of contested assets pending final judgment. Filed and executed at the Kuwait City Central Court.</w:t>
            </w:r>
          </w:p>
        </w:tc>
        <w:tc>
          <w:tcPr/>
          <w:p>
            <w:pPr>
              <w:pStyle w:val="Compact"/>
              <w:jc w:val="left"/>
            </w:pPr>
            <w:r>
              <w:t xml:space="preserve">INJ-2025-0156</w:t>
            </w:r>
          </w:p>
        </w:tc>
        <w:tc>
          <w:tcPr/>
          <w:p>
            <w:pPr>
              <w:pStyle w:val="Compact"/>
              <w:jc w:val="left"/>
            </w:pPr>
            <w:r>
              <w:t xml:space="preserve">12 June 2025</w:t>
            </w:r>
          </w:p>
        </w:tc>
        <w:tc>
          <w:tcPr/>
          <w:p>
            <w:pPr>
              <w:pStyle w:val="Compact"/>
              <w:jc w:val="left"/>
            </w:pPr>
            <w:r>
              <w:t xml:space="preserve">290.000</w:t>
            </w:r>
          </w:p>
        </w:tc>
      </w:tr>
      <w:tr>
        <w:tc>
          <w:tcPr/>
          <w:p>
            <w:pPr>
              <w:pStyle w:val="Compact"/>
              <w:jc w:val="left"/>
            </w:pPr>
            <w:r>
              <w:t xml:space="preserve">05</w:t>
            </w:r>
          </w:p>
        </w:tc>
        <w:tc>
          <w:tcPr/>
          <w:p>
            <w:pPr>
              <w:pStyle w:val="Compact"/>
              <w:jc w:val="left"/>
            </w:pPr>
            <w:r>
              <w:t xml:space="preserve">Post-judgment enforcement proceedings supervised by the Judge, including scheduling of asset seizure hearings and coordination with the Kuwait City Enforcement Office to ensure compliance with the court's final order.</w:t>
            </w:r>
          </w:p>
        </w:tc>
        <w:tc>
          <w:tcPr/>
          <w:p>
            <w:pPr>
              <w:pStyle w:val="Compact"/>
              <w:jc w:val="left"/>
            </w:pPr>
            <w:r>
              <w:t xml:space="preserve">ENF-2025-0078</w:t>
            </w:r>
          </w:p>
        </w:tc>
        <w:tc>
          <w:tcPr/>
          <w:p>
            <w:pPr>
              <w:pStyle w:val="Compact"/>
              <w:jc w:val="left"/>
            </w:pPr>
            <w:r>
              <w:t xml:space="preserve">14 June 2025</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Administrative court fees, docketing charges, and official stamp duties levied by the Kuwaiti Ministry of Justice for all proceedings handled by the Judge at the Kuwait City courthouse during the billing period.</w:t>
            </w:r>
          </w:p>
        </w:tc>
        <w:tc>
          <w:tcPr/>
          <w:p>
            <w:pPr>
              <w:pStyle w:val="Compact"/>
              <w:jc w:val="left"/>
            </w:pPr>
            <w:r>
              <w:t xml:space="preserve">Multiple</w:t>
            </w:r>
          </w:p>
        </w:tc>
        <w:tc>
          <w:tcPr/>
          <w:p>
            <w:pPr>
              <w:pStyle w:val="Compact"/>
              <w:jc w:val="left"/>
            </w:pPr>
            <w:r>
              <w:t xml:space="preserve">May–Jun 2025</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2,265.000 KWD</w:t>
            </w:r>
          </w:p>
        </w:tc>
      </w:tr>
      <w:tr>
        <w:tc>
          <w:tcPr/>
          <w:p>
            <w:pPr>
              <w:pStyle w:val="Compact"/>
              <w:jc w:val="left"/>
            </w:pPr>
            <w:r>
              <w:t xml:space="preserve">VAT (5% – Kuwait Standard Rate)</w:t>
            </w:r>
          </w:p>
        </w:tc>
        <w:tc>
          <w:tcPr/>
          <w:p>
            <w:pPr>
              <w:pStyle w:val="Compact"/>
              <w:jc w:val="left"/>
            </w:pPr>
            <w:r>
              <w:t xml:space="preserve">113.250 KWD</w:t>
            </w:r>
          </w:p>
        </w:tc>
      </w:tr>
      <w:tr>
        <w:tc>
          <w:tcPr/>
          <w:p>
            <w:pPr>
              <w:pStyle w:val="Compact"/>
              <w:jc w:val="left"/>
            </w:pPr>
            <w:r>
              <w:t xml:space="preserve">Expedited Processing Surcharge</w:t>
            </w:r>
          </w:p>
        </w:tc>
        <w:tc>
          <w:tcPr/>
          <w:p>
            <w:pPr>
              <w:pStyle w:val="Compact"/>
              <w:jc w:val="left"/>
            </w:pPr>
            <w:r>
              <w:t xml:space="preserve">45.000 KWD</w:t>
            </w:r>
          </w:p>
        </w:tc>
      </w:tr>
      <w:tr>
        <w:tc>
          <w:tcPr/>
          <w:p>
            <w:pPr>
              <w:pStyle w:val="Compact"/>
              <w:jc w:val="left"/>
            </w:pPr>
            <w:r>
              <w:t xml:space="preserve">Grand Total Due</w:t>
            </w:r>
          </w:p>
        </w:tc>
        <w:tc>
          <w:tcPr/>
          <w:p>
            <w:pPr>
              <w:pStyle w:val="Compact"/>
              <w:jc w:val="left"/>
            </w:pPr>
            <w:r>
              <w:t xml:space="preserve">2,423.250 KWD</w:t>
            </w:r>
          </w:p>
        </w:tc>
      </w:tr>
    </w:tbl>
    <w:bookmarkStart w:id="23" w:name="payment-instructions-important-notes"/>
    <w:p>
      <w:pPr>
        <w:pStyle w:val="Heading3"/>
      </w:pPr>
      <w:r>
        <w:t xml:space="preserve">Payment Instructions &amp; Important Notes</w:t>
      </w:r>
    </w:p>
    <w:p>
      <w:pPr>
        <w:numPr>
          <w:ilvl w:val="0"/>
          <w:numId w:val="1001"/>
        </w:numPr>
        <w:pStyle w:val="Compact"/>
      </w:pPr>
      <w:r>
        <w:t xml:space="preserve">Payment of this Invoice shall be made within thirty (30) calendar days from the date of issue, as stipulated under Kuwaiti commercial law governing judicial fee settlements.</w:t>
      </w:r>
    </w:p>
    <w:p>
      <w:pPr>
        <w:numPr>
          <w:ilvl w:val="0"/>
          <w:numId w:val="1001"/>
        </w:numPr>
        <w:pStyle w:val="Compact"/>
      </w:pPr>
      <w:r>
        <w:t xml:space="preserve">All payments must be remitted to the Kuwaiti Ministry of Justice, Judicial Accounts Division, located at the Central Courthouse, Al-Ma'adeen, Kuwait City. Bank: National Bank of Kuwait, Account No. 0045-8821-7734, SWIFT: NBKOKWKA.</w:t>
      </w:r>
    </w:p>
    <w:p>
      <w:pPr>
        <w:numPr>
          <w:ilvl w:val="0"/>
          <w:numId w:val="1001"/>
        </w:numPr>
        <w:pStyle w:val="Compact"/>
      </w:pPr>
      <w:r>
        <w:t xml:space="preserve">This Invoice covers all judicial services rendered by the assigned Judge during the period of 1 May 2025 through 14 June 2025. Any subsequent hearings, appeals, or enforcement actions will be invoiced separately.</w:t>
      </w:r>
    </w:p>
    <w:p>
      <w:pPr>
        <w:numPr>
          <w:ilvl w:val="0"/>
          <w:numId w:val="1001"/>
        </w:numPr>
        <w:pStyle w:val="Compact"/>
      </w:pPr>
      <w:r>
        <w:t xml:space="preserve">The Judge's rulings and court orders referenced herein are final and binding in accordance with the Kuwaiti Constitution and the Law of Civil and Commercial Procedure (Law No. 38 of 1980, as amended).</w:t>
      </w:r>
    </w:p>
    <w:p>
      <w:pPr>
        <w:numPr>
          <w:ilvl w:val="0"/>
          <w:numId w:val="1001"/>
        </w:numPr>
        <w:pStyle w:val="Compact"/>
      </w:pPr>
      <w:r>
        <w:t xml:space="preserve">Should the client wish to dispute any line item on this Invoice, a written objection must be submitted to the Court Registrar's Office in Kuwait City within fourteen (14) days of receipt.</w:t>
      </w:r>
    </w:p>
    <w:bookmarkEnd w:id="23"/>
    <w:bookmarkStart w:id="24" w:name="terms-and-conditions"/>
    <w:p>
      <w:pPr>
        <w:pStyle w:val="Heading3"/>
      </w:pPr>
      <w:r>
        <w:t xml:space="preserve">Terms and Conditions</w:t>
      </w:r>
    </w:p>
    <w:p>
      <w:pPr>
        <w:pStyle w:val="FirstParagraph"/>
      </w:pPr>
      <w:r>
        <w:t xml:space="preserve">1. This Invoice is issued in accordance with the regulations of the Supreme Judicial Council of Kuwait and the financial directives of the Ministry of Justice, State of Kuwait. All judicial fees are non-refundable once the service has been rendered by the Judge.</w:t>
      </w:r>
    </w:p>
    <w:p>
      <w:pPr>
        <w:pStyle w:val="BodyText"/>
      </w:pPr>
      <w:r>
        <w:t xml:space="preserve">2. The services described in this Invoice were performed at the Kuwait City Judicial Complex and its affiliated offices. The Judge exercised jurisdiction in full compliance with Kuwaiti territorial sovereignty and the applicable procedural codes.</w:t>
      </w:r>
    </w:p>
    <w:p>
      <w:pPr>
        <w:pStyle w:val="BodyText"/>
      </w:pPr>
      <w:r>
        <w:t xml:space="preserve">3. Late payment beyond the due date specified above shall incur a penalty of 1.5% per month on the outstanding balance, as permitted under Kuwaiti civil law. Repeated non-payment may result in the Judge referring the matter to the Enforcement Court in Kuwait City for compulsory collection.</w:t>
      </w:r>
    </w:p>
    <w:p>
      <w:pPr>
        <w:pStyle w:val="BodyText"/>
      </w:pPr>
      <w:r>
        <w:t xml:space="preserve">4. This document constitutes the official financial record of all judicial interactions between the named Judge and the client for the referenced docket numbers. It shall be retained by both parties for a minimum of seven (7) years in compliance with Kuwaiti record-keeping regulations.</w:t>
      </w:r>
    </w:p>
    <w:p>
      <w:pPr>
        <w:pStyle w:val="BodyText"/>
      </w:pPr>
      <w:r>
        <w:t xml:space="preserve">5. Any questions regarding this Invoice, the Judge's rulings, or the status of the associated court cases in Kuwait City should be directed to the Court Clerk's Office at the address listed above during standard business hours (Sunday through Thursday, 7:30 AM to 3:00 PM, Kuwait Standard Time).</w:t>
      </w:r>
    </w:p>
    <w:bookmarkEnd w:id="24"/>
    <w:p>
      <w:pPr>
        <w:pStyle w:val="BodyText"/>
      </w:pPr>
      <w:r>
        <w:rPr>
          <w:bCs/>
          <w:b/>
        </w:rPr>
        <w:t xml:space="preserve">Authorized Signature:</w:t>
      </w:r>
      <w:r>
        <w:t xml:space="preserve"> </w:t>
      </w:r>
      <w:r>
        <w:t xml:space="preserve">___________________________   </w:t>
      </w:r>
      <w:r>
        <w:t xml:space="preserve"> </w:t>
      </w:r>
      <w:r>
        <w:rPr>
          <w:bCs/>
          <w:b/>
        </w:rPr>
        <w:t xml:space="preserve">Date:</w:t>
      </w:r>
      <w:r>
        <w:t xml:space="preserve"> </w:t>
      </w:r>
      <w:r>
        <w:t xml:space="preserve">15 June 2025</w:t>
      </w:r>
    </w:p>
    <w:p>
      <w:pPr>
        <w:pStyle w:val="BodyText"/>
      </w:pPr>
      <w:r>
        <w:t xml:space="preserve">The Honorable Judge Khalid Al-Mubarak Al-Sabah — Civil &amp; Commercial Division, Kuwait City, Kuwait</w:t>
      </w:r>
    </w:p>
    <w:p>
      <w:pPr>
        <w:pStyle w:val="BodyText"/>
      </w:pPr>
      <w:r>
        <w:t xml:space="preserve">This Invoice was generated electronically and is valid without a physical stamp. Document ID: KWT-JDG-2025-04782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Kuwait City, Kuwait</dc:title>
  <dc:creator/>
  <dc:language>en</dc:language>
  <cp:keywords/>
  <dcterms:created xsi:type="dcterms:W3CDTF">2026-10-10T11:30:54Z</dcterms:created>
  <dcterms:modified xsi:type="dcterms:W3CDTF">2026-10-10T11:30:54Z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