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Official Invoice for Judicial and Arbitration Services</w:t>
      </w:r>
    </w:p>
    <w:p>
      <w:pPr>
        <w:pStyle w:val="BodyText"/>
      </w:pPr>
      <w:r>
        <w:t xml:space="preserve">Malaysia Kuala Lumpur</w:t>
      </w:r>
    </w:p>
    <w:bookmarkEnd w:id="20"/>
    <w:bookmarkStart w:id="21" w:name="invoice-details"/>
    <w:p>
      <w:pPr>
        <w:pStyle w:val="Heading3"/>
      </w:pPr>
      <w:r>
        <w:t xml:space="preserve">Invoice Details</w:t>
      </w:r>
    </w:p>
    <w:p>
      <w:pPr>
        <w:pStyle w:val="FirstParagraph"/>
      </w:pPr>
      <w:r>
        <w:t xml:space="preserve">Invoice No.:</w:t>
      </w:r>
      <w:r>
        <w:t xml:space="preserve"> </w:t>
      </w:r>
      <w:r>
        <w:t xml:space="preserve">KL-JDG-2025-04782</w:t>
      </w:r>
    </w:p>
    <w:p>
      <w:pPr>
        <w:pStyle w:val="BodyText"/>
      </w:pPr>
      <w:r>
        <w:t xml:space="preserve">Date Issued:</w:t>
      </w:r>
      <w:r>
        <w:t xml:space="preserve"> </w:t>
      </w:r>
      <w:r>
        <w:t xml:space="preserve">14 June 2025</w:t>
      </w:r>
    </w:p>
    <w:p>
      <w:pPr>
        <w:pStyle w:val="BodyText"/>
      </w:pPr>
      <w:r>
        <w:t xml:space="preserve">Due Date:</w:t>
      </w:r>
      <w:r>
        <w:t xml:space="preserve"> </w:t>
      </w:r>
      <w:r>
        <w:t xml:space="preserve">14 July 2025</w:t>
      </w:r>
    </w:p>
    <w:p>
      <w:pPr>
        <w:pStyle w:val="BodyText"/>
      </w:pPr>
      <w:r>
        <w:t xml:space="preserve">Currency:</w:t>
      </w:r>
      <w:r>
        <w:t xml:space="preserve"> </w:t>
      </w:r>
      <w:r>
        <w:t xml:space="preserve">Malaysian Ringgit (MYR / RM)</w:t>
      </w:r>
    </w:p>
    <w:p>
      <w:pPr>
        <w:pStyle w:val="BodyText"/>
      </w:pPr>
      <w:r>
        <w:t xml:space="preserve">Reference:</w:t>
      </w:r>
      <w:r>
        <w:t xml:space="preserve"> </w:t>
      </w:r>
      <w:r>
        <w:t xml:space="preserve">Case No. 2025-JH-0341</w:t>
      </w:r>
    </w:p>
    <w:bookmarkEnd w:id="21"/>
    <w:bookmarkStart w:id="22" w:name="billed-by-judge"/>
    <w:p>
      <w:pPr>
        <w:pStyle w:val="Heading3"/>
      </w:pPr>
      <w:r>
        <w:t xml:space="preserve">Billed By (Judge)</w:t>
      </w:r>
    </w:p>
    <w:p>
      <w:pPr>
        <w:pStyle w:val="FirstParagraph"/>
      </w:pPr>
      <w:r>
        <w:t xml:space="preserve">Name:</w:t>
      </w:r>
      <w:r>
        <w:t xml:space="preserve"> </w:t>
      </w:r>
      <w:r>
        <w:t xml:space="preserve">Hon. Dato' Sri Ahmad bin Ibrahim</w:t>
      </w:r>
    </w:p>
    <w:p>
      <w:pPr>
        <w:pStyle w:val="BodyText"/>
      </w:pPr>
      <w:r>
        <w:t xml:space="preserve">Title:</w:t>
      </w:r>
      <w:r>
        <w:t xml:space="preserve"> </w:t>
      </w:r>
      <w:r>
        <w:t xml:space="preserve">Senior Judge, Kuala Lumpur High Court</w:t>
      </w:r>
    </w:p>
    <w:p>
      <w:pPr>
        <w:pStyle w:val="BodyText"/>
      </w:pPr>
      <w:r>
        <w:t xml:space="preserve">Address:</w:t>
      </w:r>
      <w:r>
        <w:t xml:space="preserve"> </w:t>
      </w:r>
      <w:r>
        <w:t xml:space="preserve">14, Jalan Raja Laut, 50350 Kuala Lumpur, Wilayah Persekutuan, Malaysia</w:t>
      </w:r>
    </w:p>
    <w:p>
      <w:pPr>
        <w:pStyle w:val="BodyText"/>
      </w:pPr>
      <w:r>
        <w:t xml:space="preserve">Tel:</w:t>
      </w:r>
      <w:r>
        <w:t xml:space="preserve"> </w:t>
      </w:r>
      <w:r>
        <w:t xml:space="preserve">+60 3-2691 4400</w:t>
      </w:r>
    </w:p>
    <w:p>
      <w:pPr>
        <w:pStyle w:val="BodyText"/>
      </w:pPr>
      <w:r>
        <w:t xml:space="preserve">Email:</w:t>
      </w:r>
      <w:r>
        <w:t xml:space="preserve"> </w:t>
      </w:r>
      <w:r>
        <w:t xml:space="preserve">judge.ahmad@courts.gov.my</w:t>
      </w:r>
    </w:p>
    <w:p>
      <w:pPr>
        <w:pStyle w:val="BodyText"/>
      </w:pPr>
      <w:r>
        <w:t xml:space="preserve">TIN:</w:t>
      </w:r>
      <w:r>
        <w:t xml:space="preserve"> </w:t>
      </w:r>
      <w:r>
        <w:t xml:space="preserve">00-123-456-789</w:t>
      </w:r>
    </w:p>
    <w:bookmarkEnd w:id="22"/>
    <w:bookmarkStart w:id="23" w:name="billed-to-client"/>
    <w:p>
      <w:pPr>
        <w:pStyle w:val="Heading3"/>
      </w:pPr>
      <w:r>
        <w:t xml:space="preserve">Billed To (Client)</w:t>
      </w:r>
    </w:p>
    <w:p>
      <w:pPr>
        <w:pStyle w:val="FirstParagraph"/>
      </w:pPr>
      <w:r>
        <w:t xml:space="preserve">Company:</w:t>
      </w:r>
      <w:r>
        <w:t xml:space="preserve"> </w:t>
      </w:r>
      <w:r>
        <w:t xml:space="preserve">Meridian Legal Associates Sdn. Bhd.</w:t>
      </w:r>
    </w:p>
    <w:p>
      <w:pPr>
        <w:pStyle w:val="BodyText"/>
      </w:pPr>
      <w:r>
        <w:t xml:space="preserve">Attn:</w:t>
      </w:r>
      <w:r>
        <w:t xml:space="preserve"> </w:t>
      </w:r>
      <w:r>
        <w:t xml:space="preserve">Ms. Tan Wei Ling, Managing Partner</w:t>
      </w:r>
    </w:p>
    <w:p>
      <w:pPr>
        <w:pStyle w:val="BodyText"/>
      </w:pPr>
      <w:r>
        <w:t xml:space="preserve">Address:</w:t>
      </w:r>
      <w:r>
        <w:t xml:space="preserve"> </w:t>
      </w:r>
      <w:r>
        <w:t xml:space="preserve">Level 28, Menara Maxis, Jalan Tun Razak, 50400 Kuala Lumpur, Malaysia</w:t>
      </w:r>
    </w:p>
    <w:p>
      <w:pPr>
        <w:pStyle w:val="BodyText"/>
      </w:pPr>
      <w:r>
        <w:t xml:space="preserve">Tel:</w:t>
      </w:r>
      <w:r>
        <w:t xml:space="preserve"> </w:t>
      </w:r>
      <w:r>
        <w:t xml:space="preserve">+60 3-2181 8888</w:t>
      </w:r>
    </w:p>
    <w:p>
      <w:pPr>
        <w:pStyle w:val="BodyText"/>
      </w:pPr>
      <w:r>
        <w:t xml:space="preserve">Email:</w:t>
      </w:r>
      <w:r>
        <w:t xml:space="preserve"> </w:t>
      </w:r>
      <w:r>
        <w:t xml:space="preserve">billing@meridianlegal.my</w:t>
      </w:r>
    </w:p>
    <w:p>
      <w:pPr>
        <w:pStyle w:val="BodyText"/>
      </w:pPr>
      <w:r>
        <w:t xml:space="preserve">TIN:</w:t>
      </w:r>
      <w:r>
        <w:t xml:space="preserve"> </w:t>
      </w:r>
      <w:r>
        <w:t xml:space="preserve">00-987-654-321</w:t>
      </w:r>
    </w:p>
    <w:bookmarkEnd w:id="23"/>
    <w:bookmarkStart w:id="24" w:name="payment-information"/>
    <w:p>
      <w:pPr>
        <w:pStyle w:val="Heading3"/>
      </w:pPr>
      <w:r>
        <w:t xml:space="preserve">Payment Information</w:t>
      </w:r>
    </w:p>
    <w:p>
      <w:pPr>
        <w:pStyle w:val="FirstParagraph"/>
      </w:pPr>
      <w:r>
        <w:t xml:space="preserve">Bank:</w:t>
      </w:r>
      <w:r>
        <w:t xml:space="preserve"> </w:t>
      </w:r>
      <w:r>
        <w:t xml:space="preserve">Bank Islam Malaysia Berhad</w:t>
      </w:r>
    </w:p>
    <w:p>
      <w:pPr>
        <w:pStyle w:val="BodyText"/>
      </w:pPr>
      <w:r>
        <w:t xml:space="preserve">Acct Name:</w:t>
      </w:r>
      <w:r>
        <w:t xml:space="preserve"> </w:t>
      </w:r>
      <w:r>
        <w:t xml:space="preserve">Hon. Dato' Sri A. Ibrahim</w:t>
      </w:r>
    </w:p>
    <w:p>
      <w:pPr>
        <w:pStyle w:val="BodyText"/>
      </w:pPr>
      <w:r>
        <w:t xml:space="preserve">Acct No.:</w:t>
      </w:r>
      <w:r>
        <w:t xml:space="preserve"> </w:t>
      </w:r>
      <w:r>
        <w:t xml:space="preserve">0123-4567-8901</w:t>
      </w:r>
    </w:p>
    <w:p>
      <w:pPr>
        <w:pStyle w:val="BodyText"/>
      </w:pPr>
      <w:r>
        <w:t xml:space="preserve">SWIFT:</w:t>
      </w:r>
      <w:r>
        <w:t xml:space="preserve"> </w:t>
      </w:r>
      <w:r>
        <w:t xml:space="preserve">BMMBMYKL</w:t>
      </w:r>
    </w:p>
    <w:p>
      <w:pPr>
        <w:pStyle w:val="BodyText"/>
      </w:pPr>
      <w:r>
        <w:t xml:space="preserve">Method:</w:t>
      </w:r>
      <w:r>
        <w:t xml:space="preserve"> </w:t>
      </w:r>
      <w:r>
        <w:t xml:space="preserve">Bank Transfer / EFT</w:t>
      </w:r>
    </w:p>
    <w:bookmarkEnd w:id="24"/>
    <w:bookmarkStart w:id="26" w:name="X7fb4c8bc4eb3aaea4a4e13cfc34c8b2d6cbbfc3"/>
    <w:p>
      <w:pPr>
        <w:pStyle w:val="Heading2"/>
      </w:pPr>
      <w:r>
        <w:t xml:space="preserve">Description of Services Rendered by the Judge in Malaysia Kuala Lumpur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Rate (RM)</w:t>
            </w:r>
          </w:p>
        </w:tc>
        <w:tc>
          <w:tcPr/>
          <w:p>
            <w:pPr>
              <w:pStyle w:val="Compact"/>
              <w:jc w:val="left"/>
            </w:pPr>
            <w:r>
              <w:t xml:space="preserve">Hours</w:t>
            </w:r>
          </w:p>
        </w:tc>
        <w:tc>
          <w:tcPr/>
          <w:p>
            <w:pPr>
              <w:pStyle w:val="Compact"/>
              <w:jc w:val="left"/>
            </w:pPr>
            <w:r>
              <w:t xml:space="preserve">Amount (RM)</w:t>
            </w:r>
          </w:p>
        </w:tc>
      </w:tr>
      <w:tr>
        <w:tc>
          <w:tcPr/>
          <w:p>
            <w:pPr>
              <w:pStyle w:val="Compact"/>
              <w:jc w:val="left"/>
            </w:pPr>
            <w:r>
              <w:t xml:space="preserve">1</w:t>
            </w:r>
          </w:p>
        </w:tc>
        <w:tc>
          <w:tcPr/>
          <w:p>
            <w:pPr>
              <w:pStyle w:val="Compact"/>
              <w:jc w:val="left"/>
            </w:pPr>
            <w:r>
              <w:t xml:space="preserve">Presiding Judge for commercial arbitration hearing under the Arbitration Act 2005 (Act 646). The Judge conducted the full-day arbitration session at the Kuala Lumpur International Arbitration Centre, including opening statements, witness examinations, and deliberation on evidentiary matters.</w:t>
            </w:r>
          </w:p>
        </w:tc>
        <w:tc>
          <w:tcPr/>
          <w:p>
            <w:pPr>
              <w:pStyle w:val="Compact"/>
              <w:jc w:val="left"/>
            </w:pPr>
            <w:r>
              <w:t xml:space="preserve">02 Jun 2025</w:t>
            </w:r>
          </w:p>
        </w:tc>
        <w:tc>
          <w:tcPr/>
          <w:p>
            <w:pPr>
              <w:pStyle w:val="Compact"/>
              <w:jc w:val="left"/>
            </w:pPr>
            <w:r>
              <w:t xml:space="preserve">2,500.00</w:t>
            </w:r>
          </w:p>
        </w:tc>
        <w:tc>
          <w:tcPr/>
          <w:p>
            <w:pPr>
              <w:pStyle w:val="Compact"/>
              <w:jc w:val="left"/>
            </w:pPr>
            <w:r>
              <w:t xml:space="preserve">8.0</w:t>
            </w:r>
          </w:p>
        </w:tc>
        <w:tc>
          <w:tcPr/>
          <w:p>
            <w:pPr>
              <w:pStyle w:val="Compact"/>
              <w:jc w:val="left"/>
            </w:pPr>
            <w:r>
              <w:t xml:space="preserve">20,000.00</w:t>
            </w:r>
          </w:p>
        </w:tc>
      </w:tr>
      <w:tr>
        <w:tc>
          <w:tcPr/>
          <w:p>
            <w:pPr>
              <w:pStyle w:val="Compact"/>
              <w:jc w:val="left"/>
            </w:pPr>
            <w:r>
              <w:t xml:space="preserve">2</w:t>
            </w:r>
          </w:p>
        </w:tc>
        <w:tc>
          <w:tcPr/>
          <w:p>
            <w:pPr>
              <w:pStyle w:val="Compact"/>
              <w:jc w:val="left"/>
            </w:pPr>
            <w:r>
              <w:t xml:space="preserve">Drafting and issuance of the arbitral award by the Judge following the arbitration proceedings in Kuala Lumpur. This included comprehensive legal reasoning, application of Malaysian commercial law, and the formal judgment document sealed and signed by the presiding Judge.</w:t>
            </w:r>
          </w:p>
        </w:tc>
        <w:tc>
          <w:tcPr/>
          <w:p>
            <w:pPr>
              <w:pStyle w:val="Compact"/>
              <w:jc w:val="left"/>
            </w:pPr>
            <w:r>
              <w:t xml:space="preserve">05 Jun 2025</w:t>
            </w:r>
          </w:p>
        </w:tc>
        <w:tc>
          <w:tcPr/>
          <w:p>
            <w:pPr>
              <w:pStyle w:val="Compact"/>
              <w:jc w:val="left"/>
            </w:pPr>
            <w:r>
              <w:t xml:space="preserve">2,500.00</w:t>
            </w:r>
          </w:p>
        </w:tc>
        <w:tc>
          <w:tcPr/>
          <w:p>
            <w:pPr>
              <w:pStyle w:val="Compact"/>
              <w:jc w:val="left"/>
            </w:pPr>
            <w:r>
              <w:t xml:space="preserve">6.0</w:t>
            </w:r>
          </w:p>
        </w:tc>
        <w:tc>
          <w:tcPr/>
          <w:p>
            <w:pPr>
              <w:pStyle w:val="Compact"/>
              <w:jc w:val="left"/>
            </w:pPr>
            <w:r>
              <w:t xml:space="preserve">15,000.00</w:t>
            </w:r>
          </w:p>
        </w:tc>
      </w:tr>
      <w:tr>
        <w:tc>
          <w:tcPr/>
          <w:p>
            <w:pPr>
              <w:pStyle w:val="Compact"/>
              <w:jc w:val="left"/>
            </w:pPr>
            <w:r>
              <w:t xml:space="preserve">3</w:t>
            </w:r>
          </w:p>
        </w:tc>
        <w:tc>
          <w:tcPr/>
          <w:p>
            <w:pPr>
              <w:pStyle w:val="Compact"/>
              <w:jc w:val="left"/>
            </w:pPr>
            <w:r>
              <w:t xml:space="preserve">Mediation session facilitated by the Judge for pre-litigation dispute resolution between the parties. Conducted at the Kuala Lumpur Mediation Centre, Jalan Raja Laut. The Judge served as the neutral mediator and provided guidance on settlement frameworks under Malaysian law.</w:t>
            </w:r>
          </w:p>
        </w:tc>
        <w:tc>
          <w:tcPr/>
          <w:p>
            <w:pPr>
              <w:pStyle w:val="Compact"/>
              <w:jc w:val="left"/>
            </w:pPr>
            <w:r>
              <w:t xml:space="preserve">09 Jun 2025</w:t>
            </w:r>
          </w:p>
        </w:tc>
        <w:tc>
          <w:tcPr/>
          <w:p>
            <w:pPr>
              <w:pStyle w:val="Compact"/>
              <w:jc w:val="left"/>
            </w:pPr>
            <w:r>
              <w:t xml:space="preserve">2,000.00</w:t>
            </w:r>
          </w:p>
        </w:tc>
        <w:tc>
          <w:tcPr/>
          <w:p>
            <w:pPr>
              <w:pStyle w:val="Compact"/>
              <w:jc w:val="left"/>
            </w:pPr>
            <w:r>
              <w:t xml:space="preserve">4.0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Expert judicial opinion and advisory consultation on the interpretation of Section 10 of the Contracts Act 1950 as applied to the subject matter of the dispute. The Judge provided a written memorandum of legal opinion for the benefit of the instructing firm in Kuala Lumpur.</w:t>
            </w:r>
          </w:p>
        </w:tc>
        <w:tc>
          <w:tcPr/>
          <w:p>
            <w:pPr>
              <w:pStyle w:val="Compact"/>
              <w:jc w:val="left"/>
            </w:pPr>
            <w:r>
              <w:t xml:space="preserve">10 Jun 2025</w:t>
            </w:r>
          </w:p>
        </w:tc>
        <w:tc>
          <w:tcPr/>
          <w:p>
            <w:pPr>
              <w:pStyle w:val="Compact"/>
              <w:jc w:val="left"/>
            </w:pPr>
            <w:r>
              <w:t xml:space="preserve">2,500.00</w:t>
            </w:r>
          </w:p>
        </w:tc>
        <w:tc>
          <w:tcPr/>
          <w:p>
            <w:pPr>
              <w:pStyle w:val="Compact"/>
              <w:jc w:val="left"/>
            </w:pPr>
            <w:r>
              <w:t xml:space="preserve">3.0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Administrative and case management duties performed by the Judge in Kuala Lumpur, including scheduling of hearings, review of filed documents, coordination with court registrars, and preparation of the case file for the final award. All administrative work was conducted within the Kuala Lumpur High Court premises.</w:t>
            </w:r>
          </w:p>
        </w:tc>
        <w:tc>
          <w:tcPr/>
          <w:p>
            <w:pPr>
              <w:pStyle w:val="Compact"/>
              <w:jc w:val="left"/>
            </w:pPr>
            <w:r>
              <w:t xml:space="preserve">11 Jun 2025</w:t>
            </w:r>
          </w:p>
        </w:tc>
        <w:tc>
          <w:tcPr/>
          <w:p>
            <w:pPr>
              <w:pStyle w:val="Compact"/>
              <w:jc w:val="left"/>
            </w:pPr>
            <w:r>
              <w:t xml:space="preserve">1,500.00</w:t>
            </w:r>
          </w:p>
        </w:tc>
        <w:tc>
          <w:tcPr/>
          <w:p>
            <w:pPr>
              <w:pStyle w:val="Compact"/>
              <w:jc w:val="left"/>
            </w:pPr>
            <w:r>
              <w:t xml:space="preserve">5.0</w:t>
            </w:r>
          </w:p>
        </w:tc>
        <w:tc>
          <w:tcPr/>
          <w:p>
            <w:pPr>
              <w:pStyle w:val="Compact"/>
              <w:jc w:val="left"/>
            </w:pPr>
            <w:r>
              <w:t xml:space="preserve">7,500.00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(RM)</w:t>
            </w:r>
          </w:p>
        </w:tc>
      </w:tr>
      <w:tr>
        <w:tc>
          <w:tcPr/>
          <w:p>
            <w:pPr>
              <w:pStyle w:val="Compact"/>
              <w:jc w:val="left"/>
            </w:pPr>
            <w:r>
              <w:t xml:space="preserve">Subtotal</w:t>
            </w:r>
          </w:p>
        </w:tc>
        <w:tc>
          <w:tcPr/>
          <w:p>
            <w:pPr>
              <w:pStyle w:val="Compact"/>
              <w:jc w:val="left"/>
            </w:pPr>
            <w:r>
              <w:t xml:space="preserve">58,000.00</w:t>
            </w:r>
          </w:p>
        </w:tc>
      </w:tr>
      <w:tr>
        <w:tc>
          <w:tcPr/>
          <w:p>
            <w:pPr>
              <w:pStyle w:val="Compact"/>
              <w:jc w:val="left"/>
            </w:pPr>
            <w:r>
              <w:t xml:space="preserve">Sales and Service Tax (SST) @ 6%</w:t>
            </w:r>
          </w:p>
        </w:tc>
        <w:tc>
          <w:tcPr/>
          <w:p>
            <w:pPr>
              <w:pStyle w:val="Compact"/>
              <w:jc w:val="left"/>
            </w:pPr>
            <w:r>
              <w:t xml:space="preserve">3,480.00</w:t>
            </w:r>
          </w:p>
        </w:tc>
      </w:tr>
      <w:tr>
        <w:tc>
          <w:tcPr/>
          <w:p>
            <w:pPr>
              <w:pStyle w:val="Compact"/>
              <w:jc w:val="left"/>
            </w:pPr>
            <w:r>
              <w:t xml:space="preserve">Travel and Accommodation (Kuala Lumpur)</w:t>
            </w:r>
          </w:p>
        </w:tc>
        <w:tc>
          <w:tcPr/>
          <w:p>
            <w:pPr>
              <w:pStyle w:val="Compact"/>
              <w:jc w:val="left"/>
            </w:pPr>
            <w:r>
              <w:t xml:space="preserve">1,250.00</w:t>
            </w:r>
          </w:p>
        </w:tc>
      </w:tr>
      <w:tr>
        <w:tc>
          <w:tcPr/>
          <w:p>
            <w:pPr>
              <w:pStyle w:val="Compact"/>
              <w:jc w:val="left"/>
            </w:pPr>
            <w:r>
              <w:t xml:space="preserve">Court Filing and Administrative Fees</w:t>
            </w:r>
          </w:p>
        </w:tc>
        <w:tc>
          <w:tcPr/>
          <w:p>
            <w:pPr>
              <w:pStyle w:val="Compact"/>
              <w:jc w:val="left"/>
            </w:pPr>
            <w:r>
              <w:t xml:space="preserve">850.00</w:t>
            </w:r>
          </w:p>
        </w:tc>
      </w:tr>
      <w:tr>
        <w:tc>
          <w:tcPr/>
          <w:p>
            <w:pPr>
              <w:pStyle w:val="Compact"/>
              <w:jc w:val="left"/>
            </w:pPr>
            <w:r>
              <w:t xml:space="preserve">Grand Total Due</w:t>
            </w:r>
          </w:p>
        </w:tc>
        <w:tc>
          <w:tcPr/>
          <w:p>
            <w:pPr>
              <w:pStyle w:val="Compact"/>
              <w:jc w:val="left"/>
            </w:pPr>
            <w:r>
              <w:t xml:space="preserve">RM 63,580.00</w:t>
            </w:r>
          </w:p>
        </w:tc>
      </w:tr>
    </w:tbl>
    <w:bookmarkStart w:id="25" w:name="terms-conditions-and-important-notes"/>
    <w:p>
      <w:pPr>
        <w:pStyle w:val="Heading3"/>
      </w:pPr>
      <w:r>
        <w:t xml:space="preserve">Terms, Conditions, and Important Notes</w:t>
      </w:r>
    </w:p>
    <w:p>
      <w:pPr>
        <w:numPr>
          <w:ilvl w:val="0"/>
          <w:numId w:val="1001"/>
        </w:numPr>
        <w:pStyle w:val="Compact"/>
      </w:pPr>
      <w:r>
        <w:t xml:space="preserve">This Invoice is issued in accordance with the provisions of the Malaysian Arbitration Act 2005 (Act 646) and the relevant court fee schedules applicable in Kuala Lumpur, Malaysia.</w:t>
      </w:r>
    </w:p>
    <w:p>
      <w:pPr>
        <w:numPr>
          <w:ilvl w:val="0"/>
          <w:numId w:val="1001"/>
        </w:numPr>
        <w:pStyle w:val="Compact"/>
      </w:pPr>
      <w:r>
        <w:t xml:space="preserve">Payment of the full amount stated on this Invoice is due within thirty (30) calendar days from the date of issue, i.e., on or before 14 July 2025. Late payments shall attract interest at the rate of 5% per annum as prescribed under Malaysian commercial law.</w:t>
      </w:r>
    </w:p>
    <w:p>
      <w:pPr>
        <w:numPr>
          <w:ilvl w:val="0"/>
          <w:numId w:val="1001"/>
        </w:numPr>
        <w:pStyle w:val="Compact"/>
      </w:pPr>
      <w:r>
        <w:t xml:space="preserve">The Judge, Hon. Dato' Sri Ahmad bin Ibrahim, confirms that all services described herein were rendered in a professional and impartial capacity in Kuala Lumpur, Malaysia, in strict adherence to the Judicial Code of Conduct and the Malaysian Judiciary's ethical guidelines.</w:t>
      </w:r>
    </w:p>
    <w:p>
      <w:pPr>
        <w:numPr>
          <w:ilvl w:val="0"/>
          <w:numId w:val="1001"/>
        </w:numPr>
        <w:pStyle w:val="Compact"/>
      </w:pPr>
      <w:r>
        <w:t xml:space="preserve">All fees are quoted in Malaysian Ringgit (MYR). The Sales and Service Tax (SST) of 6% has been applied as mandated by the Royal Malaysian Customs Department for professional legal and judicial services.</w:t>
      </w:r>
    </w:p>
    <w:p>
      <w:pPr>
        <w:numPr>
          <w:ilvl w:val="0"/>
          <w:numId w:val="1001"/>
        </w:numPr>
        <w:pStyle w:val="Compact"/>
      </w:pPr>
      <w:r>
        <w:t xml:space="preserve">Any disputes arising from this Invoice shall be resolved through the courts of Kuala Lumpur, Malaysia, or by arbitration under the rules of the Asian International Arbitration Centre (AIAC) in Kuala Lumpur, at the option of the Judge.</w:t>
      </w:r>
    </w:p>
    <w:p>
      <w:pPr>
        <w:numPr>
          <w:ilvl w:val="0"/>
          <w:numId w:val="1001"/>
        </w:numPr>
        <w:pStyle w:val="Compact"/>
      </w:pPr>
      <w:r>
        <w:t xml:space="preserve">This Invoice constitutes the final and complete statement of fees for the services rendered. No additional charges shall be incurred beyond the amounts specified herein unless a written amendment is agreed upon by both parties.</w:t>
      </w:r>
    </w:p>
    <w:p>
      <w:pPr>
        <w:numPr>
          <w:ilvl w:val="0"/>
          <w:numId w:val="1001"/>
        </w:numPr>
        <w:pStyle w:val="Compact"/>
      </w:pPr>
      <w:r>
        <w:t xml:space="preserve">The client is advised to retain this Invoice for their records and for any subsequent tax filing requirements with the Inland Revenue Board of Malaysia (LHDN) in Kuala Lumpur.</w:t>
      </w:r>
    </w:p>
    <w:bookmarkEnd w:id="25"/>
    <w:p>
      <w:pPr>
        <w:pStyle w:val="FirstParagraph"/>
      </w:pPr>
      <w:r>
        <w:rPr>
          <w:bCs/>
          <w:b/>
        </w:rPr>
        <w:t xml:space="preserve">Authorized Signature of the Judge</w:t>
      </w:r>
    </w:p>
    <w:p>
      <w:pPr>
        <w:pStyle w:val="BodyText"/>
      </w:pPr>
      <w:r>
        <w:t xml:space="preserve">_______________________________</w:t>
      </w:r>
    </w:p>
    <w:p>
      <w:pPr>
        <w:pStyle w:val="BodyText"/>
      </w:pPr>
      <w:r>
        <w:t xml:space="preserve">Hon. Dato' Sri Ahmad bin Ibrahim</w:t>
      </w:r>
    </w:p>
    <w:p>
      <w:pPr>
        <w:pStyle w:val="BodyText"/>
      </w:pPr>
      <w:r>
        <w:t xml:space="preserve">Senior Judge, Kuala Lumpur High Court, Malaysia</w:t>
      </w:r>
    </w:p>
    <w:p>
      <w:pPr>
        <w:pStyle w:val="BodyText"/>
      </w:pPr>
      <w:r>
        <w:t xml:space="preserve">This Invoice was generated and issued in Kuala Lumpur, Malaysia on 14 June 2025.</w:t>
      </w:r>
    </w:p>
    <w:p>
      <w:pPr>
        <w:pStyle w:val="BodyText"/>
      </w:pPr>
      <w:r>
        <w:t xml:space="preserve">For queries regarding this Invoice, please contact the court registry at +60 3-2691 4400 or email judge.ahmad@courts.gov.my.</w:t>
      </w:r>
    </w:p>
    <w:p>
      <w:pPr>
        <w:pStyle w:val="BodyText"/>
      </w:pPr>
      <w:r>
        <w:t xml:space="preserve">© 2025 Kuala Lumpur High Court, Malaysia. All rights reserved. Invoice No. KL-JDG-2025-04782.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Malaysia Kuala Lumpur</dc:title>
  <dc:creator/>
  <dc:language>en</dc:language>
  <cp:keywords/>
  <dcterms:created xsi:type="dcterms:W3CDTF">2026-10-10T09:18:41Z</dcterms:created>
  <dcterms:modified xsi:type="dcterms:W3CDTF">2026-10-10T09:18:41Z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