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Official Judicial Services Invoice — Republic of Mexico, Federal District</w:t>
      </w:r>
    </w:p>
    <w:p>
      <w:pPr>
        <w:pStyle w:val="BodyText"/>
      </w:pPr>
      <w:r>
        <w:t xml:space="preserve">Mexico Mexico City</w:t>
      </w:r>
    </w:p>
    <w:bookmarkEnd w:id="20"/>
    <w:p>
      <w:pPr>
        <w:pStyle w:val="BodyText"/>
      </w:pPr>
      <w:r>
        <w:t xml:space="preserve">Invoice No.: JMX-2025-04871</w:t>
      </w:r>
    </w:p>
    <w:bookmarkStart w:id="21" w:name="issued-by"/>
    <w:p>
      <w:pPr>
        <w:pStyle w:val="Heading3"/>
      </w:pPr>
      <w:r>
        <w:t xml:space="preserve">Issued By</w:t>
      </w:r>
    </w:p>
    <w:p>
      <w:pPr>
        <w:pStyle w:val="FirstParagraph"/>
      </w:pPr>
      <w:r>
        <w:rPr>
          <w:bCs/>
          <w:b/>
        </w:rPr>
        <w:t xml:space="preserve">Lex Judicial Consulting Group, S.A. de C.V.</w:t>
      </w:r>
    </w:p>
    <w:p>
      <w:pPr>
        <w:pStyle w:val="BodyText"/>
      </w:pPr>
      <w:r>
        <w:t xml:space="preserve">Av. Paseo de la Reforma 222, Piso 14</w:t>
      </w:r>
    </w:p>
    <w:p>
      <w:pPr>
        <w:pStyle w:val="BodyText"/>
      </w:pPr>
      <w:r>
        <w:t xml:space="preserve">Col. Cuauhtémoc, C.P. 06500</w:t>
      </w:r>
    </w:p>
    <w:p>
      <w:pPr>
        <w:pStyle w:val="BodyText"/>
      </w:pPr>
      <w:r>
        <w:t xml:space="preserve">Mexico Mexico City, CDMX, Mexico</w:t>
      </w:r>
    </w:p>
    <w:p>
      <w:pPr>
        <w:pStyle w:val="BodyText"/>
      </w:pPr>
      <w:r>
        <w:t xml:space="preserve">RFC: LJG120515AB3</w:t>
      </w:r>
    </w:p>
    <w:p>
      <w:pPr>
        <w:pStyle w:val="BodyText"/>
      </w:pPr>
      <w:r>
        <w:t xml:space="preserve">Phone: +52 (55) 5512-8834</w:t>
      </w:r>
    </w:p>
    <w:p>
      <w:pPr>
        <w:pStyle w:val="BodyText"/>
      </w:pPr>
      <w:r>
        <w:t xml:space="preserve">Email: billing@lexjudicial.mx</w:t>
      </w:r>
    </w:p>
    <w:bookmarkEnd w:id="21"/>
    <w:bookmarkStart w:id="22" w:name="billed-to"/>
    <w:p>
      <w:pPr>
        <w:pStyle w:val="Heading3"/>
      </w:pPr>
      <w:r>
        <w:t xml:space="preserve">Billed To</w:t>
      </w:r>
    </w:p>
    <w:p>
      <w:pPr>
        <w:pStyle w:val="FirstParagraph"/>
      </w:pPr>
      <w:r>
        <w:rPr>
          <w:bCs/>
          <w:b/>
        </w:rPr>
        <w:t xml:space="preserve">Hon. Judge María Elena Rodríguez Castillo</w:t>
      </w:r>
    </w:p>
    <w:p>
      <w:pPr>
        <w:pStyle w:val="BodyText"/>
      </w:pPr>
      <w:r>
        <w:t xml:space="preserve">Superior Court of Justice, 7th Chamber</w:t>
      </w:r>
    </w:p>
    <w:p>
      <w:pPr>
        <w:pStyle w:val="BodyText"/>
      </w:pPr>
      <w:r>
        <w:t xml:space="preserve">Poder Judicial de la Federación</w:t>
      </w:r>
    </w:p>
    <w:p>
      <w:pPr>
        <w:pStyle w:val="BodyText"/>
      </w:pPr>
      <w:r>
        <w:t xml:space="preserve">Av. Juárez 120, Col. Centro</w:t>
      </w:r>
    </w:p>
    <w:p>
      <w:pPr>
        <w:pStyle w:val="BodyText"/>
      </w:pPr>
      <w:r>
        <w:t xml:space="preserve">Mexico Mexico City, C.P. 06000</w:t>
      </w:r>
    </w:p>
    <w:p>
      <w:pPr>
        <w:pStyle w:val="BodyText"/>
      </w:pPr>
      <w:r>
        <w:t xml:space="preserve">Office of the Judge, Judicial District 7</w:t>
      </w:r>
    </w:p>
    <w:p>
      <w:pPr>
        <w:pStyle w:val="BodyText"/>
      </w:pPr>
      <w:r>
        <w:t xml:space="preserve">Reference: Judicial Procurement File #PJF-2025-3312</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p>
      <w:pPr>
        <w:pStyle w:val="BodyText"/>
      </w:pPr>
      <w:r>
        <w:rPr>
          <w:bCs/>
          <w:b/>
        </w:rPr>
        <w:t xml:space="preserve">Service Period:</w:t>
      </w:r>
      <w:r>
        <w:t xml:space="preserve"> </w:t>
      </w:r>
      <w:r>
        <w:t xml:space="preserve">March 1, 2025 – May 31, 2025</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Banco de México (Banxico)</w:t>
      </w:r>
    </w:p>
    <w:p>
      <w:pPr>
        <w:pStyle w:val="BodyText"/>
      </w:pPr>
      <w:r>
        <w:rPr>
          <w:bCs/>
          <w:b/>
        </w:rPr>
        <w:t xml:space="preserve">Account No.:</w:t>
      </w:r>
      <w:r>
        <w:t xml:space="preserve"> </w:t>
      </w:r>
      <w:r>
        <w:t xml:space="preserve">012-4567-8901-2345</w:t>
      </w:r>
    </w:p>
    <w:p>
      <w:pPr>
        <w:pStyle w:val="BodyText"/>
      </w:pPr>
      <w:r>
        <w:rPr>
          <w:bCs/>
          <w:b/>
        </w:rPr>
        <w:t xml:space="preserve">CLABE:</w:t>
      </w:r>
      <w:r>
        <w:t xml:space="preserve"> </w:t>
      </w:r>
      <w:r>
        <w:t xml:space="preserve">012180012345678901</w:t>
      </w:r>
    </w:p>
    <w:p>
      <w:pPr>
        <w:pStyle w:val="BodyText"/>
      </w:pPr>
      <w:r>
        <w:rPr>
          <w:bCs/>
          <w:b/>
        </w:rPr>
        <w:t xml:space="preserve">SWIFT:</w:t>
      </w:r>
      <w:r>
        <w:t xml:space="preserve"> </w:t>
      </w:r>
      <w:r>
        <w:t xml:space="preserve">BNMEXMXX</w:t>
      </w:r>
    </w:p>
    <w:p>
      <w:pPr>
        <w:pStyle w:val="BodyText"/>
      </w:pPr>
      <w:r>
        <w:rPr>
          <w:bCs/>
          <w:b/>
        </w:rPr>
        <w:t xml:space="preserve">Branch:</w:t>
      </w:r>
      <w:r>
        <w:t xml:space="preserve"> </w:t>
      </w:r>
      <w:r>
        <w:t xml:space="preserve">Mexico Mexico City Central</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Rendered for the Office of the Judge</w:t>
            </w:r>
          </w:p>
        </w:tc>
        <w:tc>
          <w:tcPr/>
          <w:p>
            <w:pPr>
              <w:pStyle w:val="Compact"/>
              <w:jc w:val="left"/>
            </w:pPr>
            <w:r>
              <w:t xml:space="preserve">Quantity</w:t>
            </w:r>
          </w:p>
        </w:tc>
        <w:tc>
          <w:tcPr/>
          <w:p>
            <w:pPr>
              <w:pStyle w:val="Compact"/>
              <w:jc w:val="left"/>
            </w:pPr>
            <w:r>
              <w:t xml:space="preserve">Unit 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Comprehensive judicial training program for the Judge and court staff, covering updated Mexican civil procedure codes, constitutional jurisprudence, and international human rights law applicable in Mexico Mexico City federal courts.</w:t>
            </w:r>
          </w:p>
        </w:tc>
        <w:tc>
          <w:tcPr/>
          <w:p>
            <w:pPr>
              <w:pStyle w:val="Compact"/>
              <w:jc w:val="left"/>
            </w:pPr>
            <w:r>
              <w:t xml:space="preserve">12 sessions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Legal research and advisory services supporting the Judge in the preparation of complex rulings, including analysis of binding precedents from the Supreme Court of Justice of the Nation and the Federal Electoral Tribunal.</w:t>
            </w:r>
          </w:p>
        </w:tc>
        <w:tc>
          <w:tcPr/>
          <w:p>
            <w:pPr>
              <w:pStyle w:val="Compact"/>
              <w:jc w:val="left"/>
            </w:pPr>
            <w:r>
              <w:t xml:space="preserve">45 hours</w:t>
            </w:r>
          </w:p>
        </w:tc>
        <w:tc>
          <w:tcPr/>
          <w:p>
            <w:pPr>
              <w:pStyle w:val="Compact"/>
              <w:jc w:val="left"/>
            </w:pPr>
            <w:r>
              <w:t xml:space="preserve">$2,200.00</w:t>
            </w:r>
          </w:p>
        </w:tc>
        <w:tc>
          <w:tcPr/>
          <w:p>
            <w:pPr>
              <w:pStyle w:val="Compact"/>
              <w:jc w:val="left"/>
            </w:pPr>
            <w:r>
              <w:t xml:space="preserve">$99,000.00</w:t>
            </w:r>
          </w:p>
        </w:tc>
      </w:tr>
      <w:tr>
        <w:tc>
          <w:tcPr/>
          <w:p>
            <w:pPr>
              <w:pStyle w:val="Compact"/>
              <w:jc w:val="left"/>
            </w:pPr>
            <w:r>
              <w:t xml:space="preserve">3</w:t>
            </w:r>
          </w:p>
        </w:tc>
        <w:tc>
          <w:tcPr/>
          <w:p>
            <w:pPr>
              <w:pStyle w:val="Compact"/>
              <w:jc w:val="left"/>
            </w:pPr>
            <w:r>
              <w:t xml:space="preserve">Digital case management system implementation and training for the Judge's courtroom, including migration of legacy records to the electronic judicial platform mandated by the Federal Judiciary of Mexico.</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Translation and certification of judicial documents from English and Spanish for international cooperation proceedings handled by the Judge in matters of mutual legal assistance between Mexico and foreign jurisdictions.</w:t>
            </w:r>
          </w:p>
        </w:tc>
        <w:tc>
          <w:tcPr/>
          <w:p>
            <w:pPr>
              <w:pStyle w:val="Compact"/>
              <w:jc w:val="left"/>
            </w:pPr>
            <w:r>
              <w:t xml:space="preserve">28 documents</w:t>
            </w:r>
          </w:p>
        </w:tc>
        <w:tc>
          <w:tcPr/>
          <w:p>
            <w:pPr>
              <w:pStyle w:val="Compact"/>
              <w:jc w:val="left"/>
            </w:pPr>
            <w:r>
              <w:t xml:space="preserve">$1,850.00</w:t>
            </w:r>
          </w:p>
        </w:tc>
        <w:tc>
          <w:tcPr/>
          <w:p>
            <w:pPr>
              <w:pStyle w:val="Compact"/>
              <w:jc w:val="left"/>
            </w:pPr>
            <w:r>
              <w:t xml:space="preserve">$51,800.00</w:t>
            </w:r>
          </w:p>
        </w:tc>
      </w:tr>
      <w:tr>
        <w:tc>
          <w:tcPr/>
          <w:p>
            <w:pPr>
              <w:pStyle w:val="Compact"/>
              <w:jc w:val="left"/>
            </w:pPr>
            <w:r>
              <w:t xml:space="preserve">5</w:t>
            </w:r>
          </w:p>
        </w:tc>
        <w:tc>
          <w:tcPr/>
          <w:p>
            <w:pPr>
              <w:pStyle w:val="Compact"/>
              <w:jc w:val="left"/>
            </w:pPr>
            <w:r>
              <w:t xml:space="preserve">Preparation of the annual judicial performance report for the Judge, including statistical analysis of case disposition rates, average resolution times, and compliance metrics required by the Council of the Judiciary in Mexico Mexico City.</w:t>
            </w:r>
          </w:p>
        </w:tc>
        <w:tc>
          <w:tcPr/>
          <w:p>
            <w:pPr>
              <w:pStyle w:val="Compact"/>
              <w:jc w:val="left"/>
            </w:pPr>
            <w:r>
              <w:t xml:space="preserve">1 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Procurement and installation of secure courtroom audio-visual recording equipment compliant with the Federal Law on Access to Public Information and the regulations governing the Office of the Judge.</w:t>
            </w:r>
          </w:p>
        </w:tc>
        <w:tc>
          <w:tcPr/>
          <w:p>
            <w:pPr>
              <w:pStyle w:val="Compact"/>
              <w:jc w:val="left"/>
            </w:pPr>
            <w:r>
              <w:t xml:space="preserve">1 installation</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7</w:t>
            </w:r>
          </w:p>
        </w:tc>
        <w:tc>
          <w:tcPr/>
          <w:p>
            <w:pPr>
              <w:pStyle w:val="Compact"/>
              <w:jc w:val="left"/>
            </w:pPr>
            <w:r>
              <w:t xml:space="preserve">Continuing legal education credits and certification for the Judge, including attendance at the National Judicial Conference held in Mexico Mexico City, covering ethics, impartiality, and anti-corruption protocols for federal magistrates.</w:t>
            </w:r>
          </w:p>
        </w:tc>
        <w:tc>
          <w:tcPr/>
          <w:p>
            <w:pPr>
              <w:pStyle w:val="Compact"/>
              <w:jc w:val="left"/>
            </w:pPr>
            <w:r>
              <w:t xml:space="preserve">3 conferences</w:t>
            </w:r>
          </w:p>
        </w:tc>
        <w:tc>
          <w:tcPr/>
          <w:p>
            <w:pPr>
              <w:pStyle w:val="Compact"/>
              <w:jc w:val="left"/>
            </w:pPr>
            <w:r>
              <w:t xml:space="preserve">$4,200.00</w:t>
            </w:r>
          </w:p>
        </w:tc>
        <w:tc>
          <w:tcPr/>
          <w:p>
            <w:pPr>
              <w:pStyle w:val="Compact"/>
              <w:jc w:val="left"/>
            </w:pPr>
            <w:r>
              <w:t xml:space="preserve">$12,600.00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$549,900.00</w:t>
            </w:r>
          </w:p>
        </w:tc>
      </w:tr>
      <w:tr>
        <w:tc>
          <w:tcPr/>
          <w:p>
            <w:pPr>
              <w:pStyle w:val="Compact"/>
              <w:jc w:val="left"/>
            </w:pPr>
            <w:r>
              <w:t xml:space="preserve">VAT (IVA) 16%</w:t>
            </w:r>
          </w:p>
        </w:tc>
        <w:tc>
          <w:tcPr/>
          <w:p>
            <w:pPr>
              <w:pStyle w:val="Compact"/>
              <w:jc w:val="left"/>
            </w:pPr>
            <w:r>
              <w:t xml:space="preserve">$87,984.00</w:t>
            </w:r>
          </w:p>
        </w:tc>
      </w:tr>
      <w:tr>
        <w:tc>
          <w:tcPr/>
          <w:p>
            <w:pPr>
              <w:pStyle w:val="Compact"/>
              <w:jc w:val="left"/>
            </w:pPr>
            <w:r>
              <w:t xml:space="preserve">Discount (Early Payment 2%)</w:t>
            </w:r>
          </w:p>
        </w:tc>
        <w:tc>
          <w:tcPr/>
          <w:p>
            <w:pPr>
              <w:pStyle w:val="Compact"/>
              <w:jc w:val="left"/>
            </w:pPr>
            <w:r>
              <w:t xml:space="preserve">-$10,998.00</w:t>
            </w:r>
          </w:p>
        </w:tc>
      </w:tr>
      <w:tr>
        <w:tc>
          <w:tcPr/>
          <w:p>
            <w:pPr>
              <w:pStyle w:val="Compact"/>
              <w:jc w:val="left"/>
            </w:pPr>
            <w:r>
              <w:t xml:space="preserve">Grand Total Due</w:t>
            </w:r>
          </w:p>
        </w:tc>
        <w:tc>
          <w:tcPr/>
          <w:p>
            <w:pPr>
              <w:pStyle w:val="Compact"/>
              <w:jc w:val="left"/>
            </w:pPr>
            <w:r>
              <w:t xml:space="preserve">$626,886.00</w:t>
            </w:r>
          </w:p>
        </w:tc>
      </w:tr>
    </w:tbl>
    <w:bookmarkStart w:id="25" w:name="terms-and-conditions-of-this-invoice"/>
    <w:p>
      <w:pPr>
        <w:pStyle w:val="Heading3"/>
      </w:pPr>
      <w:r>
        <w:t xml:space="preserve">Terms and Conditions of This Invoice</w:t>
      </w:r>
    </w:p>
    <w:p>
      <w:pPr>
        <w:pStyle w:val="FirstParagraph"/>
      </w:pPr>
      <w:r>
        <w:t xml:space="preserve">This Invoice is issued in accordance with the Federal Law of Public Procurement and the internal regulations governing the Office of the Judge within the Federal Judiciary of Mexico. All services described herein were rendered in support of the judicial functions performed by the Judge in Mexico Mexico City and are subject to the following terms:</w:t>
      </w:r>
    </w:p>
    <w:p>
      <w:pPr>
        <w:numPr>
          <w:ilvl w:val="0"/>
          <w:numId w:val="1001"/>
        </w:numPr>
        <w:pStyle w:val="Compact"/>
      </w:pPr>
      <w:r>
        <w:t xml:space="preserve">Payment is due within thirty (30) calendar days from the date of this Invoice. Late payments shall accrue interest at the rate established by the Banco de México for overdue obligations.</w:t>
      </w:r>
    </w:p>
    <w:p>
      <w:pPr>
        <w:numPr>
          <w:ilvl w:val="0"/>
          <w:numId w:val="1001"/>
        </w:numPr>
        <w:pStyle w:val="Compact"/>
      </w:pPr>
      <w:r>
        <w:t xml:space="preserve">All services provided to the Judge's office are confidential and shall be handled in strict accordance with the Federal Law on the Protection of Personal Data Held by Private Parties and the judicial secrecy protocols of the Poder Judicial de la Federación.</w:t>
      </w:r>
    </w:p>
    <w:p>
      <w:pPr>
        <w:numPr>
          <w:ilvl w:val="0"/>
          <w:numId w:val="1001"/>
        </w:numPr>
        <w:pStyle w:val="Compact"/>
      </w:pPr>
      <w:r>
        <w:t xml:space="preserve">This Invoice constitutes the final billing for the service period indicated. Any additional services requested by the Judge or the court staff beyond the scope of the original contract shall be subject to a separate Invoice and prior written authorization from the Judicial Procurement Office in Mexico Mexico City.</w:t>
      </w:r>
    </w:p>
    <w:p>
      <w:pPr>
        <w:numPr>
          <w:ilvl w:val="0"/>
          <w:numId w:val="1001"/>
        </w:numPr>
        <w:pStyle w:val="Compact"/>
      </w:pPr>
      <w:r>
        <w:t xml:space="preserve">The Judge's office acknowledges receipt of all deliverables, including training materials, research memoranda, the digital case management system, certified translations, the annual performance report, and the courtroom equipment installation, as documented in the acceptance protocols signed by the court clerk.</w:t>
      </w:r>
    </w:p>
    <w:p>
      <w:pPr>
        <w:numPr>
          <w:ilvl w:val="0"/>
          <w:numId w:val="1001"/>
        </w:numPr>
        <w:pStyle w:val="Compact"/>
      </w:pPr>
      <w:r>
        <w:t xml:space="preserve">Disputes arising from this Invoice shall be resolved through the administrative channels of the Federal Judiciary in Mexico Mexico City before any judicial proceeding is initiated, in compliance with the applicable procedural norms.</w:t>
      </w:r>
    </w:p>
    <w:p>
      <w:pPr>
        <w:numPr>
          <w:ilvl w:val="0"/>
          <w:numId w:val="1001"/>
        </w:numPr>
        <w:pStyle w:val="Compact"/>
      </w:pPr>
      <w:r>
        <w:t xml:space="preserve">This Invoice is valid for a period of ninety (90) days from the date of issue. After this period, the amounts may be subject to adjustment based on the current exchange rates and tax regulations in force in Mexico.</w:t>
      </w:r>
    </w:p>
    <w:bookmarkEnd w:id="25"/>
    <w:p>
      <w:pPr>
        <w:pStyle w:val="FirstParagraph"/>
      </w:pPr>
      <w:r>
        <w:rPr>
          <w:bCs/>
          <w:b/>
        </w:rPr>
        <w:t xml:space="preserve">Lex Judicial Consulting Group, S.A. de C.V.</w:t>
      </w:r>
      <w:r>
        <w:t xml:space="preserve"> </w:t>
      </w:r>
      <w:r>
        <w:t xml:space="preserve">— Mexico Mexico City, CDMX, Mexico</w:t>
      </w:r>
    </w:p>
    <w:p>
      <w:pPr>
        <w:pStyle w:val="BodyText"/>
      </w:pPr>
      <w:r>
        <w:t xml:space="preserve">This Invoice was generated electronically and is valid without a physical signature in accordance with Article 29 of the Federal Tax Code of Mexico.</w:t>
      </w:r>
    </w:p>
    <w:p>
      <w:pPr>
        <w:pStyle w:val="BodyText"/>
      </w:pPr>
      <w:r>
        <w:t xml:space="preserve">For questions regarding this Invoice, please contact the billing department at billing@lexjudicial.mx or +52 (55) 5512-8834, Monday through Friday, 9:00 AM to 5:00 PM (Mexico City time, GMT-6).</w:t>
      </w:r>
    </w:p>
    <w:p>
      <w:pPr>
        <w:pStyle w:val="BodyText"/>
      </w:pPr>
      <w:r>
        <w:t xml:space="preserve">© 2025 Lex Judicial Consulting Group. All rights reserved. Invoice JMX-2025-04871.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Mexico Mexico City</dc:title>
  <dc:creator/>
  <dc:language>en</dc:language>
  <cp:keywords/>
  <dcterms:created xsi:type="dcterms:W3CDTF">2026-10-10T08:38:27Z</dcterms:created>
  <dcterms:modified xsi:type="dcterms:W3CDTF">2026-10-10T08:38:27Z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