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Judicial</w:t>
      </w:r>
      <w:r>
        <w:t xml:space="preserve"> </w:t>
      </w:r>
      <w:r>
        <w:t xml:space="preserve">Expert</w:t>
      </w:r>
      <w:r>
        <w:t xml:space="preserve"> </w:t>
      </w:r>
      <w:r>
        <w:t xml:space="preserve">Services</w:t>
      </w:r>
      <w:r>
        <w:t xml:space="preserve"> </w:t>
      </w:r>
      <w:r>
        <w:t xml:space="preserve">-</w:t>
      </w:r>
      <w:r>
        <w:t xml:space="preserve"> </w:t>
      </w:r>
      <w:r>
        <w:t xml:space="preserve">Casablanca,</w:t>
      </w:r>
      <w:r>
        <w:t xml:space="preserve"> </w:t>
      </w:r>
      <w:r>
        <w:t xml:space="preserve">Morocco</w:t>
      </w:r>
    </w:p>
    <w:bookmarkStart w:id="20" w:name="invoice"/>
    <w:p>
      <w:pPr>
        <w:pStyle w:val="Heading1"/>
      </w:pPr>
      <w:r>
        <w:t xml:space="preserve">INVOICE</w:t>
      </w:r>
    </w:p>
    <w:p>
      <w:pPr>
        <w:pStyle w:val="FirstParagraph"/>
      </w:pPr>
      <w:r>
        <w:t xml:space="preserve">Judicial Expert Services — Court-Appointed Judge Consultation</w:t>
      </w:r>
    </w:p>
    <w:p>
      <w:pPr>
        <w:pStyle w:val="BodyText"/>
      </w:pPr>
      <w:r>
        <w:t xml:space="preserve">Kingdom of Morocco • Casablanca Judicial District</w:t>
      </w:r>
    </w:p>
    <w:bookmarkEnd w:id="20"/>
    <w:p>
      <w:pPr>
        <w:pStyle w:val="BodyText"/>
      </w:pPr>
      <w:r>
        <w:rPr>
          <w:bCs/>
          <w:b/>
        </w:rPr>
        <w:t xml:space="preserve">Invoice Number:</w:t>
      </w:r>
      <w:r>
        <w:t xml:space="preserve"> </w:t>
      </w:r>
      <w:r>
        <w:t xml:space="preserve">INV-CAS-2025-04871</w:t>
      </w:r>
      <w:r>
        <w:br/>
      </w:r>
      <w:r>
        <w:rPr>
          <w:bCs/>
          <w:b/>
        </w:rPr>
        <w:t xml:space="preserve">Date of Issue:</w:t>
      </w:r>
      <w:r>
        <w:t xml:space="preserve"> </w:t>
      </w:r>
      <w:r>
        <w:t xml:space="preserve">14 June 2025</w:t>
      </w:r>
      <w:r>
        <w:br/>
      </w:r>
      <w:r>
        <w:rPr>
          <w:bCs/>
          <w:b/>
        </w:rPr>
        <w:t xml:space="preserve">Due Date:</w:t>
      </w:r>
      <w:r>
        <w:t xml:space="preserve"> </w:t>
      </w:r>
      <w:r>
        <w:t xml:space="preserve">14 July 2025</w:t>
      </w:r>
    </w:p>
    <w:p>
      <w:pPr>
        <w:pStyle w:val="BodyText"/>
      </w:pPr>
      <w:r>
        <w:rPr>
          <w:bCs/>
          <w:b/>
        </w:rPr>
        <w:t xml:space="preserve">Reference Case No.:</w:t>
      </w:r>
      <w:r>
        <w:t xml:space="preserve"> </w:t>
      </w:r>
      <w:r>
        <w:t xml:space="preserve">2025/14872-CV</w:t>
      </w:r>
      <w:r>
        <w:br/>
      </w:r>
      <w:r>
        <w:rPr>
          <w:bCs/>
          <w:b/>
        </w:rPr>
        <w:t xml:space="preserve">Court:</w:t>
      </w:r>
      <w:r>
        <w:t xml:space="preserve"> </w:t>
      </w:r>
      <w:r>
        <w:t xml:space="preserve">Tribunal de Première Instance de Casablanca</w:t>
      </w:r>
      <w:r>
        <w:br/>
      </w:r>
      <w:r>
        <w:rPr>
          <w:bCs/>
          <w:b/>
        </w:rPr>
        <w:t xml:space="preserve">Chamber:</w:t>
      </w:r>
      <w:r>
        <w:t xml:space="preserve"> </w:t>
      </w:r>
      <w:r>
        <w:t xml:space="preserve">Civil Chamber, Section 3</w:t>
      </w:r>
      <w:r>
        <w:br/>
      </w:r>
      <w:r>
        <w:rPr>
          <w:bCs/>
          <w:b/>
        </w:rPr>
        <w:t xml:space="preserve">Presiding Judge:</w:t>
      </w:r>
      <w:r>
        <w:t xml:space="preserve"> </w:t>
      </w:r>
      <w:r>
        <w:t xml:space="preserve">H.E. Judge Youssef El Amrani</w:t>
      </w:r>
    </w:p>
    <w:bookmarkStart w:id="21" w:name="issued-by-service-provider"/>
    <w:p>
      <w:pPr>
        <w:pStyle w:val="Heading3"/>
      </w:pPr>
      <w:r>
        <w:t xml:space="preserve">Issued By (Service Provider)</w:t>
      </w:r>
    </w:p>
    <w:p>
      <w:pPr>
        <w:pStyle w:val="FirstParagraph"/>
      </w:pPr>
      <w:r>
        <w:rPr>
          <w:bCs/>
          <w:b/>
        </w:rPr>
        <w:t xml:space="preserve">H.E. Judge Youssef El Amrani</w:t>
      </w:r>
    </w:p>
    <w:p>
      <w:pPr>
        <w:pStyle w:val="BodyText"/>
      </w:pPr>
      <w:r>
        <w:t xml:space="preserve">Appointed Judicial Expert &amp; Mediator</w:t>
      </w:r>
    </w:p>
    <w:p>
      <w:pPr>
        <w:pStyle w:val="BodyText"/>
      </w:pPr>
      <w:r>
        <w:t xml:space="preserve">Tribunal de Première Instance de Casablanca</w:t>
      </w:r>
    </w:p>
    <w:p>
      <w:pPr>
        <w:pStyle w:val="BodyText"/>
      </w:pPr>
      <w:r>
        <w:t xml:space="preserve">12, Boulevard Mohammed V</w:t>
      </w:r>
    </w:p>
    <w:p>
      <w:pPr>
        <w:pStyle w:val="BodyText"/>
      </w:pPr>
      <w:r>
        <w:t xml:space="preserve">Casablanca 20250, Morocco</w:t>
      </w:r>
    </w:p>
    <w:p>
      <w:pPr>
        <w:pStyle w:val="BodyText"/>
      </w:pPr>
      <w:r>
        <w:t xml:space="preserve">IC: 44556677-8899</w:t>
      </w:r>
    </w:p>
    <w:p>
      <w:pPr>
        <w:pStyle w:val="BodyText"/>
      </w:pPr>
      <w:r>
        <w:t xml:space="preserve">Professional License: TJ-CAS-2019-00342</w:t>
      </w:r>
    </w:p>
    <w:p>
      <w:pPr>
        <w:pStyle w:val="BodyText"/>
      </w:pPr>
      <w:r>
        <w:t xml:space="preserve">Email: y.elamrani@tribunal-casablanca.ma</w:t>
      </w:r>
    </w:p>
    <w:bookmarkEnd w:id="21"/>
    <w:bookmarkStart w:id="22" w:name="issued-to-client-party"/>
    <w:p>
      <w:pPr>
        <w:pStyle w:val="Heading3"/>
      </w:pPr>
      <w:r>
        <w:t xml:space="preserve">Issued To (Client / Party)</w:t>
      </w:r>
    </w:p>
    <w:p>
      <w:pPr>
        <w:pStyle w:val="FirstParagraph"/>
      </w:pPr>
      <w:r>
        <w:rPr>
          <w:bCs/>
          <w:b/>
        </w:rPr>
        <w:t xml:space="preserve">Atlas Industrial Holdings SARL</w:t>
      </w:r>
    </w:p>
    <w:p>
      <w:pPr>
        <w:pStyle w:val="BodyText"/>
      </w:pPr>
      <w:r>
        <w:t xml:space="preserve">Represented by: Mr. Karim Benjelloun, Legal Director</w:t>
      </w:r>
    </w:p>
    <w:p>
      <w:pPr>
        <w:pStyle w:val="BodyText"/>
      </w:pPr>
      <w:r>
        <w:t xml:space="preserve">45, Avenue Hassan II, Maârif District</w:t>
      </w:r>
    </w:p>
    <w:p>
      <w:pPr>
        <w:pStyle w:val="BodyText"/>
      </w:pPr>
      <w:r>
        <w:t xml:space="preserve">Casablanca 20100, Morocco</w:t>
      </w:r>
    </w:p>
    <w:p>
      <w:pPr>
        <w:pStyle w:val="BodyText"/>
      </w:pPr>
      <w:r>
        <w:t xml:space="preserve">ICE: 002345678000091</w:t>
      </w:r>
    </w:p>
    <w:p>
      <w:pPr>
        <w:pStyle w:val="BodyText"/>
      </w:pPr>
      <w:r>
        <w:t xml:space="preserve">RC: 456789 Casablanca</w:t>
      </w:r>
    </w:p>
    <w:p>
      <w:pPr>
        <w:pStyle w:val="BodyText"/>
      </w:pPr>
      <w:r>
        <w:t xml:space="preserve">IF: 40567890</w:t>
      </w:r>
    </w:p>
    <w:p>
      <w:pPr>
        <w:pStyle w:val="BodyText"/>
      </w:pPr>
      <w:r>
        <w:t xml:space="preserve">Email: legal@atlasholdings.ma</w:t>
      </w:r>
    </w:p>
    <w:bookmarkEnd w:id="22"/>
    <w:bookmarkStart w:id="24" w:name="X5c900862c410cd2bf38b8de1bc4922a25552c74"/>
    <w:p>
      <w:pPr>
        <w:pStyle w:val="Heading2"/>
      </w:pPr>
      <w:r>
        <w:t xml:space="preserve">Description of Judicial Services Rendered</w:t>
      </w:r>
    </w:p>
    <w:p>
      <w:pPr>
        <w:pStyle w:val="FirstParagraph"/>
      </w:pPr>
      <w:r>
        <w:t xml:space="preserve">The following Invoice documents the professional fees and expenses incurred by the court-appointed Judge in the capacity of a judicial expert and mediator in the above-referenced civil dispute. All services were performed in accordance with the Moroccan Code of Civil Procedure (Dahir n° 1-74-150 of 26 February 1974, as amended) and the applicable provisions of the Moroccan Code of Civil Procedure governing expert appointments and judicial mediation in Casablanca.</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 Item Description</w:t>
            </w:r>
          </w:p>
        </w:tc>
        <w:tc>
          <w:tcPr/>
          <w:p>
            <w:pPr>
              <w:pStyle w:val="Compact"/>
              <w:jc w:val="left"/>
            </w:pPr>
            <w:r>
              <w:t xml:space="preserve">Date Performed</w:t>
            </w:r>
          </w:p>
        </w:tc>
        <w:tc>
          <w:tcPr/>
          <w:p>
            <w:pPr>
              <w:pStyle w:val="Compact"/>
              <w:jc w:val="left"/>
            </w:pPr>
            <w:r>
              <w:t xml:space="preserve">Quantity</w:t>
            </w:r>
          </w:p>
        </w:tc>
        <w:tc>
          <w:tcPr/>
          <w:p>
            <w:pPr>
              <w:pStyle w:val="Compact"/>
              <w:jc w:val="left"/>
            </w:pPr>
            <w:r>
              <w:t xml:space="preserve">Unit Rate (MAD)</w:t>
            </w:r>
          </w:p>
        </w:tc>
        <w:tc>
          <w:tcPr/>
          <w:p>
            <w:pPr>
              <w:pStyle w:val="Compact"/>
              <w:jc w:val="left"/>
            </w:pPr>
            <w:r>
              <w:t xml:space="preserve">Amount (MAD)</w:t>
            </w:r>
          </w:p>
        </w:tc>
      </w:tr>
      <w:tr>
        <w:tc>
          <w:tcPr/>
          <w:p>
            <w:pPr>
              <w:pStyle w:val="Compact"/>
              <w:jc w:val="left"/>
            </w:pPr>
            <w:r>
              <w:t xml:space="preserve">1</w:t>
            </w:r>
          </w:p>
        </w:tc>
        <w:tc>
          <w:tcPr/>
          <w:p>
            <w:pPr>
              <w:pStyle w:val="Compact"/>
              <w:jc w:val="left"/>
            </w:pPr>
            <w:r>
              <w:t xml:space="preserve">Initial judicial expert assessment and site inspection of the disputed commercial property located in the Ain Diab district, Casablanca. Includes preparation of the preliminary expert report submitted to the Tribunal de Première Instance de Casablanca.</w:t>
            </w:r>
          </w:p>
        </w:tc>
        <w:tc>
          <w:tcPr/>
          <w:p>
            <w:pPr>
              <w:pStyle w:val="Compact"/>
              <w:jc w:val="left"/>
            </w:pPr>
            <w:r>
              <w:t xml:space="preserve">03 May 2025</w:t>
            </w:r>
          </w:p>
        </w:tc>
        <w:tc>
          <w:tcPr/>
          <w:p>
            <w:pPr>
              <w:pStyle w:val="Compact"/>
              <w:jc w:val="left"/>
            </w:pPr>
            <w:r>
              <w:t xml:space="preserve">1</w:t>
            </w:r>
          </w:p>
        </w:tc>
        <w:tc>
          <w:tcPr/>
          <w:p>
            <w:pPr>
              <w:pStyle w:val="Compact"/>
              <w:jc w:val="left"/>
            </w:pPr>
            <w:r>
              <w:t xml:space="preserve">8,500.00</w:t>
            </w:r>
          </w:p>
        </w:tc>
        <w:tc>
          <w:tcPr/>
          <w:p>
            <w:pPr>
              <w:pStyle w:val="Compact"/>
              <w:jc w:val="left"/>
            </w:pPr>
            <w:r>
              <w:t xml:space="preserve">8,500.00</w:t>
            </w:r>
          </w:p>
        </w:tc>
      </w:tr>
      <w:tr>
        <w:tc>
          <w:tcPr/>
          <w:p>
            <w:pPr>
              <w:pStyle w:val="Compact"/>
              <w:jc w:val="left"/>
            </w:pPr>
            <w:r>
              <w:t xml:space="preserve">2</w:t>
            </w:r>
          </w:p>
        </w:tc>
        <w:tc>
          <w:tcPr/>
          <w:p>
            <w:pPr>
              <w:pStyle w:val="Compact"/>
              <w:jc w:val="left"/>
            </w:pPr>
            <w:r>
              <w:t xml:space="preserve">Conduct of two formal mediation sessions between the disputing parties, presided over by the appointed Judge in the mediation chamber of the Casablanca First Instance Court. Includes drafting of the mediation minutes and procedural recommendations.</w:t>
            </w:r>
          </w:p>
        </w:tc>
        <w:tc>
          <w:tcPr/>
          <w:p>
            <w:pPr>
              <w:pStyle w:val="Compact"/>
              <w:jc w:val="left"/>
            </w:pPr>
            <w:r>
              <w:t xml:space="preserve">10 May 2025</w:t>
            </w:r>
          </w:p>
        </w:tc>
        <w:tc>
          <w:tcPr/>
          <w:p>
            <w:pPr>
              <w:pStyle w:val="Compact"/>
              <w:jc w:val="left"/>
            </w:pPr>
            <w:r>
              <w:t xml:space="preserve">2</w:t>
            </w:r>
          </w:p>
        </w:tc>
        <w:tc>
          <w:tcPr/>
          <w:p>
            <w:pPr>
              <w:pStyle w:val="Compact"/>
              <w:jc w:val="left"/>
            </w:pPr>
            <w:r>
              <w:t xml:space="preserve">6,000.00</w:t>
            </w:r>
          </w:p>
        </w:tc>
        <w:tc>
          <w:tcPr/>
          <w:p>
            <w:pPr>
              <w:pStyle w:val="Compact"/>
              <w:jc w:val="left"/>
            </w:pPr>
            <w:r>
              <w:t xml:space="preserve">12,000.00</w:t>
            </w:r>
          </w:p>
        </w:tc>
      </w:tr>
      <w:tr>
        <w:tc>
          <w:tcPr/>
          <w:p>
            <w:pPr>
              <w:pStyle w:val="Compact"/>
              <w:jc w:val="left"/>
            </w:pPr>
            <w:r>
              <w:t xml:space="preserve">3</w:t>
            </w:r>
          </w:p>
        </w:tc>
        <w:tc>
          <w:tcPr/>
          <w:p>
            <w:pPr>
              <w:pStyle w:val="Compact"/>
              <w:jc w:val="left"/>
            </w:pPr>
            <w:r>
              <w:t xml:space="preserve">Preparation and submission of the comprehensive final expert report (approximately 120 pages) to the presiding Judge of Civil Chamber, Section 3, including technical analysis, legal opinions, and proposed settlement framework under Moroccan commercial law.</w:t>
            </w:r>
          </w:p>
        </w:tc>
        <w:tc>
          <w:tcPr/>
          <w:p>
            <w:pPr>
              <w:pStyle w:val="Compact"/>
              <w:jc w:val="left"/>
            </w:pPr>
            <w:r>
              <w:t xml:space="preserve">28 May 2025</w:t>
            </w:r>
          </w:p>
        </w:tc>
        <w:tc>
          <w:tcPr/>
          <w:p>
            <w:pPr>
              <w:pStyle w:val="Compact"/>
              <w:jc w:val="left"/>
            </w:pPr>
            <w:r>
              <w:t xml:space="preserve">1</w:t>
            </w:r>
          </w:p>
        </w:tc>
        <w:tc>
          <w:tcPr/>
          <w:p>
            <w:pPr>
              <w:pStyle w:val="Compact"/>
              <w:jc w:val="left"/>
            </w:pPr>
            <w:r>
              <w:t xml:space="preserve">15,000.00</w:t>
            </w:r>
          </w:p>
        </w:tc>
        <w:tc>
          <w:tcPr/>
          <w:p>
            <w:pPr>
              <w:pStyle w:val="Compact"/>
              <w:jc w:val="left"/>
            </w:pPr>
            <w:r>
              <w:t xml:space="preserve">15,000.00</w:t>
            </w:r>
          </w:p>
        </w:tc>
      </w:tr>
      <w:tr>
        <w:tc>
          <w:tcPr/>
          <w:p>
            <w:pPr>
              <w:pStyle w:val="Compact"/>
              <w:jc w:val="left"/>
            </w:pPr>
            <w:r>
              <w:t xml:space="preserve">4</w:t>
            </w:r>
          </w:p>
        </w:tc>
        <w:tc>
          <w:tcPr/>
          <w:p>
            <w:pPr>
              <w:pStyle w:val="Compact"/>
              <w:jc w:val="left"/>
            </w:pPr>
            <w:r>
              <w:t xml:space="preserve">Attendance at the oral hearing before the Tribunal de Première Instance de Casablanca for the presentation and cross-examination of the expert report. Includes preparation of supplementary written clarifications requested by the court.</w:t>
            </w:r>
          </w:p>
        </w:tc>
        <w:tc>
          <w:tcPr/>
          <w:p>
            <w:pPr>
              <w:pStyle w:val="Compact"/>
              <w:jc w:val="left"/>
            </w:pPr>
            <w:r>
              <w:t xml:space="preserve">05 June 2025</w:t>
            </w:r>
          </w:p>
        </w:tc>
        <w:tc>
          <w:tcPr/>
          <w:p>
            <w:pPr>
              <w:pStyle w:val="Compact"/>
              <w:jc w:val="left"/>
            </w:pPr>
            <w:r>
              <w:t xml:space="preserve">1</w:t>
            </w:r>
          </w:p>
        </w:tc>
        <w:tc>
          <w:tcPr/>
          <w:p>
            <w:pPr>
              <w:pStyle w:val="Compact"/>
              <w:jc w:val="left"/>
            </w:pPr>
            <w:r>
              <w:t xml:space="preserve">4,500.00</w:t>
            </w:r>
          </w:p>
        </w:tc>
        <w:tc>
          <w:tcPr/>
          <w:p>
            <w:pPr>
              <w:pStyle w:val="Compact"/>
              <w:jc w:val="left"/>
            </w:pPr>
            <w:r>
              <w:t xml:space="preserve">4,500.00</w:t>
            </w:r>
          </w:p>
        </w:tc>
      </w:tr>
      <w:tr>
        <w:tc>
          <w:tcPr/>
          <w:p>
            <w:pPr>
              <w:pStyle w:val="Compact"/>
              <w:jc w:val="left"/>
            </w:pPr>
            <w:r>
              <w:t xml:space="preserve">5</w:t>
            </w:r>
          </w:p>
        </w:tc>
        <w:tc>
          <w:tcPr/>
          <w:p>
            <w:pPr>
              <w:pStyle w:val="Compact"/>
              <w:jc w:val="left"/>
            </w:pPr>
            <w:r>
              <w:t xml:space="preserve">Administrative and logistical expenses: reproduction of documents, certified copies of court filings, transportation within the Casablanca metropolitan area, and communication costs associated with the judicial expert mandate.</w:t>
            </w:r>
          </w:p>
        </w:tc>
        <w:tc>
          <w:tcPr/>
          <w:p>
            <w:pPr>
              <w:pStyle w:val="Compact"/>
              <w:jc w:val="left"/>
            </w:pPr>
            <w:r>
              <w:t xml:space="preserve">Various</w:t>
            </w:r>
          </w:p>
        </w:tc>
        <w:tc>
          <w:tcPr/>
          <w:p>
            <w:pPr>
              <w:pStyle w:val="Compact"/>
              <w:jc w:val="left"/>
            </w:pPr>
            <w:r>
              <w:t xml:space="preserve">1</w:t>
            </w:r>
          </w:p>
        </w:tc>
        <w:tc>
          <w:tcPr/>
          <w:p>
            <w:pPr>
              <w:pStyle w:val="Compact"/>
              <w:jc w:val="left"/>
            </w:pPr>
            <w:r>
              <w:t xml:space="preserve">2,200.00</w:t>
            </w:r>
          </w:p>
        </w:tc>
        <w:tc>
          <w:tcPr/>
          <w:p>
            <w:pPr>
              <w:pStyle w:val="Compact"/>
              <w:jc w:val="left"/>
            </w:pPr>
            <w:r>
              <w:t xml:space="preserve">2,200.00</w:t>
            </w:r>
          </w:p>
        </w:tc>
      </w:tr>
      <w:tr>
        <w:tc>
          <w:tcPr/>
          <w:p>
            <w:pPr>
              <w:pStyle w:val="Compact"/>
              <w:jc w:val="left"/>
            </w:pPr>
            <w:r>
              <w:t xml:space="preserve">6</w:t>
            </w:r>
          </w:p>
        </w:tc>
        <w:tc>
          <w:tcPr/>
          <w:p>
            <w:pPr>
              <w:pStyle w:val="Compact"/>
              <w:jc w:val="left"/>
            </w:pPr>
            <w:r>
              <w:t xml:space="preserve">Post-hearing supplementary memorandum addressing additional questions posed by the presiding Judge regarding the valuation methodology applied to the disputed assets in the Casablanca real estate market.</w:t>
            </w:r>
          </w:p>
        </w:tc>
        <w:tc>
          <w:tcPr/>
          <w:p>
            <w:pPr>
              <w:pStyle w:val="Compact"/>
              <w:jc w:val="left"/>
            </w:pPr>
            <w:r>
              <w:t xml:space="preserve">10 June 2025</w:t>
            </w:r>
          </w:p>
        </w:tc>
        <w:tc>
          <w:tcPr/>
          <w:p>
            <w:pPr>
              <w:pStyle w:val="Compact"/>
              <w:jc w:val="left"/>
            </w:pPr>
            <w:r>
              <w:t xml:space="preserve">1</w:t>
            </w:r>
          </w:p>
        </w:tc>
        <w:tc>
          <w:tcPr/>
          <w:p>
            <w:pPr>
              <w:pStyle w:val="Compact"/>
              <w:jc w:val="left"/>
            </w:pPr>
            <w:r>
              <w:t xml:space="preserve">3,800.00</w:t>
            </w:r>
          </w:p>
        </w:tc>
        <w:tc>
          <w:tcPr/>
          <w:p>
            <w:pPr>
              <w:pStyle w:val="Compact"/>
              <w:jc w:val="left"/>
            </w:pPr>
            <w:r>
              <w:t xml:space="preserve">3,800.00</w:t>
            </w:r>
          </w:p>
        </w:tc>
      </w:tr>
    </w:tbl>
    <w:tbl>
      <w:tblPr>
        <w:tblStyle w:val="Table"/>
        <w:tblW w:type="auto" w:w="0"/>
        <w:tblLook w:firstRow="1" w:lastRow="0" w:firstColumn="0" w:lastColumn="0" w:noHBand="0" w:noVBand="0" w:val="0020"/>
      </w:tblPr>
      <w:tblGrid>
        <w:gridCol w:w="3960"/>
        <w:gridCol w:w="3960"/>
      </w:tblGrid>
      <w:tr>
        <w:trPr>
          <w:tblHeader w:val="true"/>
        </w:trPr>
        <w:tc>
          <w:tcPr>
            <w:gridSpan w:val="2"/>
          </w:tcPr>
          <w:p>
            <w:pPr>
              <w:pStyle w:val="Compact"/>
              <w:jc w:val="left"/>
            </w:pPr>
            <w:r>
              <w:t xml:space="preserve">Financial Summary</w:t>
            </w:r>
          </w:p>
        </w:tc>
      </w:tr>
      <w:tr>
        <w:tc>
          <w:tcPr/>
          <w:p>
            <w:pPr>
              <w:pStyle w:val="Compact"/>
              <w:jc w:val="left"/>
            </w:pPr>
            <w:r>
              <w:t xml:space="preserve">Subtotal (Services &amp; Expenses)</w:t>
            </w:r>
          </w:p>
        </w:tc>
        <w:tc>
          <w:tcPr/>
          <w:p>
            <w:pPr>
              <w:pStyle w:val="Compact"/>
              <w:jc w:val="left"/>
            </w:pPr>
            <w:r>
              <w:t xml:space="preserve">46,000.00 MAD</w:t>
            </w:r>
          </w:p>
        </w:tc>
      </w:tr>
      <w:tr>
        <w:tc>
          <w:tcPr/>
          <w:p>
            <w:pPr>
              <w:pStyle w:val="Compact"/>
              <w:jc w:val="left"/>
            </w:pPr>
            <w:r>
              <w:t xml:space="preserve">VAT (20% — Moroccan Tax Code, Art. 98)</w:t>
            </w:r>
          </w:p>
        </w:tc>
        <w:tc>
          <w:tcPr/>
          <w:p>
            <w:pPr>
              <w:pStyle w:val="Compact"/>
              <w:jc w:val="left"/>
            </w:pPr>
            <w:r>
              <w:t xml:space="preserve">9,200.00 MAD</w:t>
            </w:r>
          </w:p>
        </w:tc>
      </w:tr>
      <w:tr>
        <w:tc>
          <w:tcPr/>
          <w:p>
            <w:pPr>
              <w:pStyle w:val="Compact"/>
              <w:jc w:val="left"/>
            </w:pPr>
            <w:r>
              <w:t xml:space="preserve">Court Filing &amp; Registration Fee (Tribunal de Casablanca)</w:t>
            </w:r>
          </w:p>
        </w:tc>
        <w:tc>
          <w:tcPr/>
          <w:p>
            <w:pPr>
              <w:pStyle w:val="Compact"/>
              <w:jc w:val="left"/>
            </w:pPr>
            <w:r>
              <w:t xml:space="preserve">1,500.00 MAD</w:t>
            </w:r>
          </w:p>
        </w:tc>
      </w:tr>
      <w:tr>
        <w:tc>
          <w:tcPr/>
          <w:p>
            <w:pPr>
              <w:pStyle w:val="Compact"/>
              <w:jc w:val="left"/>
            </w:pPr>
            <w:r>
              <w:t xml:space="preserve">TOTAL AMOUNT DUE</w:t>
            </w:r>
          </w:p>
        </w:tc>
        <w:tc>
          <w:tcPr/>
          <w:p>
            <w:pPr>
              <w:pStyle w:val="Compact"/>
              <w:jc w:val="left"/>
            </w:pPr>
            <w:r>
              <w:t xml:space="preserve">56,700.00 MAD</w:t>
            </w:r>
          </w:p>
        </w:tc>
      </w:tr>
    </w:tbl>
    <w:bookmarkStart w:id="23" w:name="payment-terms-important-notes"/>
    <w:p>
      <w:pPr>
        <w:pStyle w:val="Heading3"/>
      </w:pPr>
      <w:r>
        <w:t xml:space="preserve">Payment Terms &amp; Important Notes</w:t>
      </w:r>
    </w:p>
    <w:p>
      <w:pPr>
        <w:numPr>
          <w:ilvl w:val="0"/>
          <w:numId w:val="1001"/>
        </w:numPr>
        <w:pStyle w:val="Compact"/>
      </w:pPr>
      <w:r>
        <w:rPr>
          <w:bCs/>
          <w:b/>
        </w:rPr>
        <w:t xml:space="preserve">Payment Method:</w:t>
      </w:r>
      <w:r>
        <w:t xml:space="preserve"> </w:t>
      </w:r>
      <w:r>
        <w:t xml:space="preserve">Bank transfer to the account designated by the Tribunal de Première Instance de Casablanca, or by certified cheque payable to the court's judicial expert fund. IBAN: MA64 0117 8000 0000 0000 0000 0000 (Bank Al-Maghrib, Casablanca Branch).</w:t>
      </w:r>
    </w:p>
    <w:p>
      <w:pPr>
        <w:numPr>
          <w:ilvl w:val="0"/>
          <w:numId w:val="1001"/>
        </w:numPr>
        <w:pStyle w:val="Compact"/>
      </w:pPr>
      <w:r>
        <w:rPr>
          <w:bCs/>
          <w:b/>
        </w:rPr>
        <w:t xml:space="preserve">Payment Deadline:</w:t>
      </w:r>
      <w:r>
        <w:t xml:space="preserve"> </w:t>
      </w:r>
      <w:r>
        <w:t xml:space="preserve">This Invoice must be settled in full within thirty (30) calendar days from the date of issue, in compliance with Article 74 of the Moroccan Code of Civil Procedure governing the remuneration of court-appointed experts.</w:t>
      </w:r>
    </w:p>
    <w:p>
      <w:pPr>
        <w:numPr>
          <w:ilvl w:val="0"/>
          <w:numId w:val="1001"/>
        </w:numPr>
        <w:pStyle w:val="Compact"/>
      </w:pPr>
      <w:r>
        <w:rPr>
          <w:bCs/>
          <w:b/>
        </w:rPr>
        <w:t xml:space="preserve">Currency:</w:t>
      </w:r>
      <w:r>
        <w:t xml:space="preserve"> </w:t>
      </w:r>
      <w:r>
        <w:t xml:space="preserve">All amounts are expressed in Moroccan Dirhams (MAD / DH). No foreign currency settlements are accepted for judicial fees in Casablanca.</w:t>
      </w:r>
    </w:p>
    <w:p>
      <w:pPr>
        <w:numPr>
          <w:ilvl w:val="0"/>
          <w:numId w:val="1001"/>
        </w:numPr>
        <w:pStyle w:val="Compact"/>
      </w:pPr>
      <w:r>
        <w:rPr>
          <w:bCs/>
          <w:b/>
        </w:rPr>
        <w:t xml:space="preserve">Tax Compliance:</w:t>
      </w:r>
      <w:r>
        <w:t xml:space="preserve"> </w:t>
      </w:r>
      <w:r>
        <w:t xml:space="preserve">This Invoice is issued in accordance with the Moroccan General Tax Code (Code Général des Impôts) and the regulations of the Direction Générale des Impôts, Casablanca Regional Directorate. The VAT number of the issuing judicial body is registered under the Casablanca tax jurisdiction.</w:t>
      </w:r>
    </w:p>
    <w:p>
      <w:pPr>
        <w:numPr>
          <w:ilvl w:val="0"/>
          <w:numId w:val="1001"/>
        </w:numPr>
        <w:pStyle w:val="Compact"/>
      </w:pPr>
      <w:r>
        <w:rPr>
          <w:bCs/>
          <w:b/>
        </w:rPr>
        <w:t xml:space="preserve">Dispute Resolution:</w:t>
      </w:r>
      <w:r>
        <w:t xml:space="preserve"> </w:t>
      </w:r>
      <w:r>
        <w:t xml:space="preserve">Any dispute arising from the interpretation or payment of this Invoice shall be subject to the exclusive jurisdiction of the Tribunal de Première Instance de Casablanca, in accordance with Moroccan procedural law.</w:t>
      </w:r>
    </w:p>
    <w:p>
      <w:pPr>
        <w:numPr>
          <w:ilvl w:val="0"/>
          <w:numId w:val="1001"/>
        </w:numPr>
        <w:pStyle w:val="Compact"/>
      </w:pPr>
      <w:r>
        <w:rPr>
          <w:bCs/>
          <w:b/>
        </w:rPr>
        <w:t xml:space="preserve">Validity:</w:t>
      </w:r>
      <w:r>
        <w:t xml:space="preserve"> </w:t>
      </w:r>
      <w:r>
        <w:t xml:space="preserve">This Invoice is valid for a period of ninety (90) days from the date of issue. Beyond this period, a supplementary administrative fee of 5% shall be applied as stipulated by the court's internal financial regulations.</w:t>
      </w:r>
    </w:p>
    <w:bookmarkEnd w:id="23"/>
    <w:p>
      <w:pPr>
        <w:pStyle w:val="FirstParagraph"/>
      </w:pPr>
      <w:r>
        <w:t xml:space="preserve">This Invoice is issued pursuant to the judicial expert mandate (mandat d'expertise judiciaire) granted by Order No. 2025/0341 issued by the Presiding Judge of the Tribunal de Première Instance de Casablanca on 20 April 2025, in the matter of Atlas Industrial Holdings SARL v. Medina Construction Group SARL, Case No. 2025/14872-CV. The services described herein were performed in the official capacity of the appointed Judge-Expert under the authority of the Moroccan judiciary.</w:t>
      </w:r>
    </w:p>
    <w:p>
      <w:pPr>
        <w:pStyle w:val="BodyText"/>
      </w:pPr>
      <w:r>
        <w:t xml:space="preserve">[Official Court Seal — Tribunal de Première Instance de Casablanca]</w:t>
      </w:r>
    </w:p>
    <w:p>
      <w:pPr>
        <w:pStyle w:val="BodyText"/>
      </w:pPr>
      <w:r>
        <w:t xml:space="preserve">[Signature of H.E. Judge Youssef El Amrani]</w:t>
      </w:r>
    </w:p>
    <w:p>
      <w:pPr>
        <w:pStyle w:val="BodyText"/>
      </w:pPr>
      <w:r>
        <w:t xml:space="preserve">[Acknowledged &amp; Received — Client Stamp]</w:t>
      </w:r>
    </w:p>
    <w:p>
      <w:pPr>
        <w:pStyle w:val="BodyText"/>
      </w:pPr>
      <w:r>
        <w:rPr>
          <w:bCs/>
          <w:b/>
        </w:rPr>
        <w:t xml:space="preserve">Invoice INV-CAS-2025-04871</w:t>
      </w:r>
      <w:r>
        <w:t xml:space="preserve"> </w:t>
      </w:r>
      <w:r>
        <w:t xml:space="preserve">— Issued in Casablanca, Morocco — 14 June 2025</w:t>
      </w:r>
    </w:p>
    <w:p>
      <w:pPr>
        <w:pStyle w:val="BodyText"/>
      </w:pPr>
      <w:r>
        <w:t xml:space="preserve">This document constitutes an official financial record of judicial expert services rendered under the authority of the Moroccan judiciary in the Casablanca judicial district. It is to be retained by both parties for a minimum period of ten (10) years in accordance with Moroccan commercial and judicial archiving regulations.</w:t>
      </w:r>
    </w:p>
    <w:p>
      <w:pPr>
        <w:pStyle w:val="BodyText"/>
      </w:pPr>
      <w:r>
        <w:t xml:space="preserve">For inquiries regarding this Invoice, please contact the Registry (Greffier) of the Tribunal de Première Instance de Casablanca, Civil Chamber, Section 3, at 12 Boulevard Mohammed V, Casablanca 20250, Morocco. Telephone: +212 5 22 23 45 67.</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Judicial Expert Services - Casablanca, Morocco</dc:title>
  <dc:creator/>
  <dc:language>en</dc:language>
  <cp:keywords/>
  <dcterms:created xsi:type="dcterms:W3CDTF">2026-10-10T09:12:16Z</dcterms:created>
  <dcterms:modified xsi:type="dcterms:W3CDTF">2026-10-10T09:12:16Z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