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invoice"/>
    <w:p>
      <w:pPr>
        <w:pStyle w:val="Heading1"/>
      </w:pPr>
      <w:r>
        <w:t xml:space="preserve">INVOICE</w:t>
      </w:r>
    </w:p>
    <w:p>
      <w:pPr>
        <w:pStyle w:val="FirstParagraph"/>
      </w:pPr>
      <w:r>
        <w:t xml:space="preserve">Judicial Services &amp; Court Proceedings</w:t>
      </w:r>
    </w:p>
    <w:p>
      <w:pPr>
        <w:pStyle w:val="BodyText"/>
      </w:pPr>
      <w:r>
        <w:t xml:space="preserve">Amsterdam, Netherlands</w:t>
      </w:r>
    </w:p>
    <w:bookmarkEnd w:id="20"/>
    <w:bookmarkStart w:id="21" w:name="issued-by"/>
    <w:p>
      <w:pPr>
        <w:pStyle w:val="Heading3"/>
      </w:pPr>
      <w:r>
        <w:t xml:space="preserve">Issued By</w:t>
      </w:r>
    </w:p>
    <w:p>
      <w:pPr>
        <w:pStyle w:val="FirstParagraph"/>
      </w:pPr>
      <w:r>
        <w:rPr>
          <w:bCs/>
          <w:b/>
        </w:rPr>
        <w:t xml:space="preserve">Rechtbank Amsterdam</w:t>
      </w:r>
    </w:p>
    <w:p>
      <w:pPr>
        <w:pStyle w:val="BodyText"/>
      </w:pPr>
      <w:r>
        <w:t xml:space="preserve">Departement Civiele Afdeling</w:t>
      </w:r>
    </w:p>
    <w:p>
      <w:pPr>
        <w:pStyle w:val="BodyText"/>
      </w:pPr>
      <w:r>
        <w:t xml:space="preserve">Herengracht 460</w:t>
      </w:r>
    </w:p>
    <w:p>
      <w:pPr>
        <w:pStyle w:val="BodyText"/>
      </w:pPr>
      <w:r>
        <w:t xml:space="preserve">1017 CA Amsterdam</w:t>
      </w:r>
    </w:p>
    <w:p>
      <w:pPr>
        <w:pStyle w:val="BodyText"/>
      </w:pPr>
      <w:r>
        <w:t xml:space="preserve">Netherlands</w:t>
      </w:r>
    </w:p>
    <w:p>
      <w:pPr>
        <w:pStyle w:val="BodyText"/>
      </w:pPr>
      <w:r>
        <w:t xml:space="preserve">Tel: +31 (0)20 514 4000</w:t>
      </w:r>
    </w:p>
    <w:p>
      <w:pPr>
        <w:pStyle w:val="BodyText"/>
      </w:pPr>
      <w:r>
        <w:t xml:space="preserve">Email: secretaris@rechtbankamsterdam.nl</w:t>
      </w:r>
    </w:p>
    <w:p>
      <w:pPr>
        <w:pStyle w:val="BodyText"/>
      </w:pPr>
      <w:r>
        <w:t xml:space="preserve">KvK: 27000000</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INV-2025-AMST-04872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 Case:</w:t>
      </w:r>
      <w:r>
        <w:t xml:space="preserve"> </w:t>
      </w:r>
      <w:r>
        <w:t xml:space="preserve">C/25/584712</w:t>
      </w:r>
    </w:p>
    <w:p>
      <w:pPr>
        <w:pStyle w:val="BodyText"/>
      </w:pPr>
      <w:r>
        <w:rPr>
          <w:bCs/>
          <w:b/>
        </w:rPr>
        <w:t xml:space="preserve">Presiding Judge:</w:t>
      </w:r>
      <w:r>
        <w:t xml:space="preserve"> </w:t>
      </w:r>
      <w:r>
        <w:t xml:space="preserve">Mr. H. van der Berg</w:t>
      </w:r>
    </w:p>
    <w:p>
      <w:pPr>
        <w:pStyle w:val="BodyText"/>
      </w:pPr>
      <w:r>
        <w:rPr>
          <w:bCs/>
          <w:b/>
        </w:rPr>
        <w:t xml:space="preserve">Payment Method:</w:t>
      </w:r>
      <w:r>
        <w:t xml:space="preserve"> </w:t>
      </w:r>
      <w:r>
        <w:t xml:space="preserve">Bank Transfer</w:t>
      </w:r>
    </w:p>
    <w:p>
      <w:pPr>
        <w:pStyle w:val="BodyText"/>
      </w:pPr>
      <w:r>
        <w:rPr>
          <w:bCs/>
          <w:b/>
        </w:rPr>
        <w:t xml:space="preserve">IBAN:</w:t>
      </w:r>
      <w:r>
        <w:t xml:space="preserve"> </w:t>
      </w:r>
      <w:r>
        <w:t xml:space="preserve">NL91 RABO 0300 0652 64</w:t>
      </w:r>
    </w:p>
    <w:bookmarkEnd w:id="22"/>
    <w:bookmarkStart w:id="23" w:name="billed-to"/>
    <w:p>
      <w:pPr>
        <w:pStyle w:val="Heading3"/>
      </w:pPr>
      <w:r>
        <w:t xml:space="preserve">Billed To</w:t>
      </w:r>
    </w:p>
    <w:p>
      <w:pPr>
        <w:pStyle w:val="FirstParagraph"/>
      </w:pPr>
      <w:r>
        <w:rPr>
          <w:bCs/>
          <w:b/>
        </w:rPr>
        <w:t xml:space="preserve">De Vries &amp; Partners Advocaten</w:t>
      </w:r>
    </w:p>
    <w:p>
      <w:pPr>
        <w:pStyle w:val="BodyText"/>
      </w:pPr>
      <w:r>
        <w:t xml:space="preserve">Attn: Ms. S. de Vries, Esq.</w:t>
      </w:r>
    </w:p>
    <w:p>
      <w:pPr>
        <w:pStyle w:val="BodyText"/>
      </w:pPr>
      <w:r>
        <w:t xml:space="preserve">Keizersgracht 215</w:t>
      </w:r>
    </w:p>
    <w:p>
      <w:pPr>
        <w:pStyle w:val="BodyText"/>
      </w:pPr>
      <w:r>
        <w:t xml:space="preserve">1016 DZ Amsterdam</w:t>
      </w:r>
    </w:p>
    <w:p>
      <w:pPr>
        <w:pStyle w:val="BodyText"/>
      </w:pPr>
      <w:r>
        <w:t xml:space="preserve">Netherlands</w:t>
      </w:r>
    </w:p>
    <w:p>
      <w:pPr>
        <w:pStyle w:val="BodyText"/>
      </w:pPr>
      <w:r>
        <w:t xml:space="preserve">KvK: 34567890</w:t>
      </w:r>
    </w:p>
    <w:p>
      <w:pPr>
        <w:pStyle w:val="BodyText"/>
      </w:pPr>
      <w:r>
        <w:t xml:space="preserve">VAT ID: NL854321987B01</w:t>
      </w:r>
    </w:p>
    <w:bookmarkEnd w:id="23"/>
    <w:bookmarkStart w:id="24" w:name="case-summary"/>
    <w:p>
      <w:pPr>
        <w:pStyle w:val="Heading3"/>
      </w:pPr>
      <w:r>
        <w:t xml:space="preserve">Case Summary</w:t>
      </w:r>
    </w:p>
    <w:p>
      <w:pPr>
        <w:pStyle w:val="FirstParagraph"/>
      </w:pPr>
      <w:r>
        <w:rPr>
          <w:bCs/>
          <w:b/>
        </w:rPr>
        <w:t xml:space="preserve">Case Type:</w:t>
      </w:r>
      <w:r>
        <w:t xml:space="preserve"> </w:t>
      </w:r>
      <w:r>
        <w:t xml:space="preserve">Civil Dispute</w:t>
      </w:r>
    </w:p>
    <w:p>
      <w:pPr>
        <w:pStyle w:val="BodyText"/>
      </w:pPr>
      <w:r>
        <w:rPr>
          <w:bCs/>
          <w:b/>
        </w:rPr>
        <w:t xml:space="preserve">Subject:</w:t>
      </w:r>
      <w:r>
        <w:t xml:space="preserve"> </w:t>
      </w:r>
      <w:r>
        <w:t xml:space="preserve">Contractual Disagreement</w:t>
      </w:r>
    </w:p>
    <w:p>
      <w:pPr>
        <w:pStyle w:val="BodyText"/>
      </w:pPr>
      <w:r>
        <w:rPr>
          <w:bCs/>
          <w:b/>
        </w:rPr>
        <w:t xml:space="preserve">Presiding Judge:</w:t>
      </w:r>
      <w:r>
        <w:t xml:space="preserve"> </w:t>
      </w:r>
      <w:r>
        <w:t xml:space="preserve">Mr. H. van der Berg</w:t>
      </w:r>
    </w:p>
    <w:p>
      <w:pPr>
        <w:pStyle w:val="BodyText"/>
      </w:pPr>
      <w:r>
        <w:rPr>
          <w:bCs/>
          <w:b/>
        </w:rPr>
        <w:t xml:space="preserve">Courtroom:</w:t>
      </w:r>
      <w:r>
        <w:t xml:space="preserve"> </w:t>
      </w:r>
      <w:r>
        <w:t xml:space="preserve">Zaal 12, Herengracht 460</w:t>
      </w:r>
    </w:p>
    <w:p>
      <w:pPr>
        <w:pStyle w:val="BodyText"/>
      </w:pPr>
      <w:r>
        <w:rPr>
          <w:bCs/>
          <w:b/>
        </w:rPr>
        <w:t xml:space="preserve">Location:</w:t>
      </w:r>
      <w:r>
        <w:t xml:space="preserve"> </w:t>
      </w:r>
      <w:r>
        <w:t xml:space="preserve">Amsterdam, Netherlands</w:t>
      </w:r>
    </w:p>
    <w:p>
      <w:pPr>
        <w:pStyle w:val="BodyText"/>
      </w:pPr>
      <w:r>
        <w:rPr>
          <w:bCs/>
          <w:b/>
        </w:rPr>
        <w:t xml:space="preserve">Proceedings Date:</w:t>
      </w:r>
      <w:r>
        <w:t xml:space="preserve"> </w:t>
      </w:r>
      <w:r>
        <w:t xml:space="preserve">28 May 2025</w:t>
      </w:r>
    </w:p>
    <w:bookmarkEnd w:id="24"/>
    <w:bookmarkStart w:id="26" w:name="X64122493d1fa2c38a57c1ac502ede63c0b86e98"/>
    <w:p>
      <w:pPr>
        <w:pStyle w:val="Heading2"/>
      </w:pPr>
      <w:r>
        <w:t xml:space="preserve">Itemized Judicial Services – Invoice Breakdown</w:t>
      </w:r>
    </w:p>
    <w:p>
      <w:pPr>
        <w:pStyle w:val="FirstParagraph"/>
      </w:pPr>
      <w:r>
        <w:t xml:space="preserve">The following Invoice reflects all judicial services, administrative fees, and court-related charges associated with the proceedings presided over by Judge Mr. H. van der Berg at the Rechtbank Amsterdam, located in the city of Amsterdam, Netherlands. All charges are in accordance with the Dutch Judicial Costs Act (Wet op de rechterlijke kosten) and applicable municipal regulations for the municipality of Amsterdam.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Presiding Judge – Initial Hearing &amp; Case Management Conference (Judge Mr. H. van der Berg)</w:t>
            </w:r>
          </w:p>
        </w:tc>
        <w:tc>
          <w:tcPr/>
          <w:p>
            <w:pPr>
              <w:pStyle w:val="Compact"/>
              <w:jc w:val="left"/>
            </w:pPr>
            <w:r>
              <w:t xml:space="preserve">12 May 2025</w:t>
            </w:r>
          </w:p>
        </w:tc>
        <w:tc>
          <w:tcPr/>
          <w:p>
            <w:pPr>
              <w:pStyle w:val="Compact"/>
              <w:jc w:val="left"/>
            </w:pPr>
            <w:r>
              <w:t xml:space="preserve">1 session</w:t>
            </w:r>
          </w:p>
        </w:tc>
        <w:tc>
          <w:tcPr/>
          <w:p>
            <w:pPr>
              <w:pStyle w:val="Compact"/>
              <w:jc w:val="left"/>
            </w:pPr>
            <w:r>
              <w:t xml:space="preserve">€ 485.00</w:t>
            </w:r>
          </w:p>
        </w:tc>
        <w:tc>
          <w:tcPr/>
          <w:p>
            <w:pPr>
              <w:pStyle w:val="Compact"/>
              <w:jc w:val="left"/>
            </w:pPr>
            <w:r>
              <w:t xml:space="preserve">€ 485.00</w:t>
            </w:r>
          </w:p>
        </w:tc>
      </w:tr>
      <w:tr>
        <w:tc>
          <w:tcPr/>
          <w:p>
            <w:pPr>
              <w:pStyle w:val="Compact"/>
              <w:jc w:val="left"/>
            </w:pPr>
            <w:r>
              <w:t xml:space="preserve">2</w:t>
            </w:r>
          </w:p>
        </w:tc>
        <w:tc>
          <w:tcPr/>
          <w:p>
            <w:pPr>
              <w:pStyle w:val="Compact"/>
              <w:jc w:val="left"/>
            </w:pPr>
            <w:r>
              <w:t xml:space="preserve">Presiding Judge – Main Trial Proceedings, Day 1 (Judge Mr. H. van der Berg)</w:t>
            </w:r>
          </w:p>
        </w:tc>
        <w:tc>
          <w:tcPr/>
          <w:p>
            <w:pPr>
              <w:pStyle w:val="Compact"/>
              <w:jc w:val="left"/>
            </w:pPr>
            <w:r>
              <w:t xml:space="preserve">28 May 2025</w:t>
            </w:r>
          </w:p>
        </w:tc>
        <w:tc>
          <w:tcPr/>
          <w:p>
            <w:pPr>
              <w:pStyle w:val="Compact"/>
              <w:jc w:val="left"/>
            </w:pPr>
            <w:r>
              <w:t xml:space="preserve">1 day</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3</w:t>
            </w:r>
          </w:p>
        </w:tc>
        <w:tc>
          <w:tcPr/>
          <w:p>
            <w:pPr>
              <w:pStyle w:val="Compact"/>
              <w:jc w:val="left"/>
            </w:pPr>
            <w:r>
              <w:t xml:space="preserve">Presiding Judge – Main Trial Proceedings, Day 2 (Judge Mr. H. van der Berg)</w:t>
            </w:r>
          </w:p>
        </w:tc>
        <w:tc>
          <w:tcPr/>
          <w:p>
            <w:pPr>
              <w:pStyle w:val="Compact"/>
              <w:jc w:val="left"/>
            </w:pPr>
            <w:r>
              <w:t xml:space="preserve">29 May 2025</w:t>
            </w:r>
          </w:p>
        </w:tc>
        <w:tc>
          <w:tcPr/>
          <w:p>
            <w:pPr>
              <w:pStyle w:val="Compact"/>
              <w:jc w:val="left"/>
            </w:pPr>
            <w:r>
              <w:t xml:space="preserve">1 day</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4</w:t>
            </w:r>
          </w:p>
        </w:tc>
        <w:tc>
          <w:tcPr/>
          <w:p>
            <w:pPr>
              <w:pStyle w:val="Compact"/>
              <w:jc w:val="left"/>
            </w:pPr>
            <w:r>
              <w:t xml:space="preserve">Judicial Ruling &amp; Written Judgment Preparation by the Judge</w:t>
            </w:r>
          </w:p>
        </w:tc>
        <w:tc>
          <w:tcPr/>
          <w:p>
            <w:pPr>
              <w:pStyle w:val="Compact"/>
              <w:jc w:val="left"/>
            </w:pPr>
            <w:r>
              <w:t xml:space="preserve">05 June 2025</w:t>
            </w:r>
          </w:p>
        </w:tc>
        <w:tc>
          <w:tcPr/>
          <w:p>
            <w:pPr>
              <w:pStyle w:val="Compact"/>
              <w:jc w:val="left"/>
            </w:pPr>
            <w:r>
              <w:t xml:space="preserve">1 document</w:t>
            </w:r>
          </w:p>
        </w:tc>
        <w:tc>
          <w:tcPr/>
          <w:p>
            <w:pPr>
              <w:pStyle w:val="Compact"/>
              <w:jc w:val="left"/>
            </w:pPr>
            <w:r>
              <w:t xml:space="preserve">€ 620.00</w:t>
            </w:r>
          </w:p>
        </w:tc>
        <w:tc>
          <w:tcPr/>
          <w:p>
            <w:pPr>
              <w:pStyle w:val="Compact"/>
              <w:jc w:val="left"/>
            </w:pPr>
            <w:r>
              <w:t xml:space="preserve">€ 620.00</w:t>
            </w:r>
          </w:p>
        </w:tc>
      </w:tr>
      <w:tr>
        <w:tc>
          <w:tcPr/>
          <w:p>
            <w:pPr>
              <w:pStyle w:val="Compact"/>
              <w:jc w:val="left"/>
            </w:pPr>
            <w:r>
              <w:t xml:space="preserve">5</w:t>
            </w:r>
          </w:p>
        </w:tc>
        <w:tc>
          <w:tcPr/>
          <w:p>
            <w:pPr>
              <w:pStyle w:val="Compact"/>
              <w:jc w:val="left"/>
            </w:pPr>
            <w:r>
              <w:t xml:space="preserve">Courtroom Facility Rental – Zaal 12, Rechtbank Amsterdam, Netherlands</w:t>
            </w:r>
          </w:p>
        </w:tc>
        <w:tc>
          <w:tcPr/>
          <w:p>
            <w:pPr>
              <w:pStyle w:val="Compact"/>
              <w:jc w:val="left"/>
            </w:pPr>
            <w:r>
              <w:t xml:space="preserve">28–29 May 2025</w:t>
            </w:r>
          </w:p>
        </w:tc>
        <w:tc>
          <w:tcPr/>
          <w:p>
            <w:pPr>
              <w:pStyle w:val="Compact"/>
              <w:jc w:val="left"/>
            </w:pPr>
            <w:r>
              <w:t xml:space="preserve">2 days</w:t>
            </w:r>
          </w:p>
        </w:tc>
        <w:tc>
          <w:tcPr/>
          <w:p>
            <w:pPr>
              <w:pStyle w:val="Compact"/>
              <w:jc w:val="left"/>
            </w:pPr>
            <w:r>
              <w:t xml:space="preserve">€ 180.00</w:t>
            </w:r>
          </w:p>
        </w:tc>
        <w:tc>
          <w:tcPr/>
          <w:p>
            <w:pPr>
              <w:pStyle w:val="Compact"/>
              <w:jc w:val="left"/>
            </w:pPr>
            <w:r>
              <w:t xml:space="preserve">€ 360.00</w:t>
            </w:r>
          </w:p>
        </w:tc>
      </w:tr>
      <w:tr>
        <w:tc>
          <w:tcPr/>
          <w:p>
            <w:pPr>
              <w:pStyle w:val="Compact"/>
              <w:jc w:val="left"/>
            </w:pPr>
            <w:r>
              <w:t xml:space="preserve">6</w:t>
            </w:r>
          </w:p>
        </w:tc>
        <w:tc>
          <w:tcPr/>
          <w:p>
            <w:pPr>
              <w:pStyle w:val="Compact"/>
              <w:jc w:val="left"/>
            </w:pPr>
            <w:r>
              <w:t xml:space="preserve">Official Court Transcription &amp; Certified Translation (Dutch to English)</w:t>
            </w:r>
          </w:p>
        </w:tc>
        <w:tc>
          <w:tcPr/>
          <w:p>
            <w:pPr>
              <w:pStyle w:val="Compact"/>
              <w:jc w:val="left"/>
            </w:pPr>
            <w:r>
              <w:t xml:space="preserve">02 June 2025</w:t>
            </w:r>
          </w:p>
        </w:tc>
        <w:tc>
          <w:tcPr/>
          <w:p>
            <w:pPr>
              <w:pStyle w:val="Compact"/>
              <w:jc w:val="left"/>
            </w:pPr>
            <w:r>
              <w:t xml:space="preserve">1 set</w:t>
            </w:r>
          </w:p>
        </w:tc>
        <w:tc>
          <w:tcPr/>
          <w:p>
            <w:pPr>
              <w:pStyle w:val="Compact"/>
              <w:jc w:val="left"/>
            </w:pPr>
            <w:r>
              <w:t xml:space="preserve">€ 340.00</w:t>
            </w:r>
          </w:p>
        </w:tc>
        <w:tc>
          <w:tcPr/>
          <w:p>
            <w:pPr>
              <w:pStyle w:val="Compact"/>
              <w:jc w:val="left"/>
            </w:pPr>
            <w:r>
              <w:t xml:space="preserve">€ 340.00</w:t>
            </w:r>
          </w:p>
        </w:tc>
      </w:tr>
      <w:tr>
        <w:tc>
          <w:tcPr/>
          <w:p>
            <w:pPr>
              <w:pStyle w:val="Compact"/>
              <w:jc w:val="left"/>
            </w:pPr>
            <w:r>
              <w:t xml:space="preserve">7</w:t>
            </w:r>
          </w:p>
        </w:tc>
        <w:tc>
          <w:tcPr/>
          <w:p>
            <w:pPr>
              <w:pStyle w:val="Compact"/>
              <w:jc w:val="left"/>
            </w:pPr>
            <w:r>
              <w:t xml:space="preserve">Administrative Filing &amp; Case Registration Fee – Amsterdam District Court</w:t>
            </w:r>
          </w:p>
        </w:tc>
        <w:tc>
          <w:tcPr/>
          <w:p>
            <w:pPr>
              <w:pStyle w:val="Compact"/>
              <w:jc w:val="left"/>
            </w:pPr>
            <w:r>
              <w:t xml:space="preserve">10 May 2025</w:t>
            </w:r>
          </w:p>
        </w:tc>
        <w:tc>
          <w:tcPr/>
          <w:p>
            <w:pPr>
              <w:pStyle w:val="Compact"/>
              <w:jc w:val="left"/>
            </w:pPr>
            <w:r>
              <w:t xml:space="preserve">1 filing</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8</w:t>
            </w:r>
          </w:p>
        </w:tc>
        <w:tc>
          <w:tcPr/>
          <w:p>
            <w:pPr>
              <w:pStyle w:val="Compact"/>
              <w:jc w:val="left"/>
            </w:pPr>
            <w:r>
              <w:t xml:space="preserve">Service of Process &amp; Official Notification (Amsterdam, Netherlands)</w:t>
            </w:r>
          </w:p>
        </w:tc>
        <w:tc>
          <w:tcPr/>
          <w:p>
            <w:pPr>
              <w:pStyle w:val="Compact"/>
              <w:jc w:val="left"/>
            </w:pPr>
            <w:r>
              <w:t xml:space="preserve">11 May 2025</w:t>
            </w:r>
          </w:p>
        </w:tc>
        <w:tc>
          <w:tcPr/>
          <w:p>
            <w:pPr>
              <w:pStyle w:val="Compact"/>
              <w:jc w:val="left"/>
            </w:pPr>
            <w:r>
              <w:t xml:space="preserve">2 parties</w:t>
            </w:r>
          </w:p>
        </w:tc>
        <w:tc>
          <w:tcPr/>
          <w:p>
            <w:pPr>
              <w:pStyle w:val="Compact"/>
              <w:jc w:val="left"/>
            </w:pPr>
            <w:r>
              <w:t xml:space="preserve">€ 45.00</w:t>
            </w:r>
          </w:p>
        </w:tc>
        <w:tc>
          <w:tcPr/>
          <w:p>
            <w:pPr>
              <w:pStyle w:val="Compact"/>
              <w:jc w:val="left"/>
            </w:pPr>
            <w:r>
              <w:t xml:space="preserve">€ 90.00</w:t>
            </w:r>
          </w:p>
        </w:tc>
      </w:tr>
      <w:tr>
        <w:tc>
          <w:tcPr/>
          <w:p>
            <w:pPr>
              <w:pStyle w:val="Compact"/>
              <w:jc w:val="left"/>
            </w:pPr>
            <w:r>
              <w:t xml:space="preserve">9</w:t>
            </w:r>
          </w:p>
        </w:tc>
        <w:tc>
          <w:tcPr/>
          <w:p>
            <w:pPr>
              <w:pStyle w:val="Compact"/>
              <w:jc w:val="left"/>
            </w:pPr>
            <w:r>
              <w:t xml:space="preserve">Expert Witness Coordination &amp; Judicial Oversight by the Judge</w:t>
            </w:r>
          </w:p>
        </w:tc>
        <w:tc>
          <w:tcPr/>
          <w:p>
            <w:pPr>
              <w:pStyle w:val="Compact"/>
              <w:jc w:val="left"/>
            </w:pPr>
            <w:r>
              <w:t xml:space="preserve">28 May 2025</w:t>
            </w:r>
          </w:p>
        </w:tc>
        <w:tc>
          <w:tcPr/>
          <w:p>
            <w:pPr>
              <w:pStyle w:val="Compact"/>
              <w:jc w:val="left"/>
            </w:pPr>
            <w:r>
              <w:t xml:space="preserve">1 session</w:t>
            </w:r>
          </w:p>
        </w:tc>
        <w:tc>
          <w:tcPr/>
          <w:p>
            <w:pPr>
              <w:pStyle w:val="Compact"/>
              <w:jc w:val="left"/>
            </w:pPr>
            <w:r>
              <w:t xml:space="preserve">€ 275.00</w:t>
            </w:r>
          </w:p>
        </w:tc>
        <w:tc>
          <w:tcPr/>
          <w:p>
            <w:pPr>
              <w:pStyle w:val="Compact"/>
              <w:jc w:val="left"/>
            </w:pPr>
            <w:r>
              <w:t xml:space="preserve">€ 275.00</w:t>
            </w:r>
          </w:p>
        </w:tc>
      </w:tr>
      <w:tr>
        <w:tc>
          <w:tcPr/>
          <w:p>
            <w:pPr>
              <w:pStyle w:val="Compact"/>
              <w:jc w:val="left"/>
            </w:pPr>
            <w:r>
              <w:t xml:space="preserve">10</w:t>
            </w:r>
          </w:p>
        </w:tc>
        <w:tc>
          <w:tcPr/>
          <w:p>
            <w:pPr>
              <w:pStyle w:val="Compact"/>
              <w:jc w:val="left"/>
            </w:pPr>
            <w:r>
              <w:t xml:space="preserve">Post-Judgment Administrative Processing &amp; Archiving (Rechtbank Amsterdam)</w:t>
            </w:r>
          </w:p>
        </w:tc>
        <w:tc>
          <w:tcPr/>
          <w:p>
            <w:pPr>
              <w:pStyle w:val="Compact"/>
              <w:jc w:val="left"/>
            </w:pPr>
            <w:r>
              <w:t xml:space="preserve">06 June 2025</w:t>
            </w:r>
          </w:p>
        </w:tc>
        <w:tc>
          <w:tcPr/>
          <w:p>
            <w:pPr>
              <w:pStyle w:val="Compact"/>
              <w:jc w:val="left"/>
            </w:pPr>
            <w:r>
              <w:t xml:space="preserve">1 case</w:t>
            </w:r>
          </w:p>
        </w:tc>
        <w:tc>
          <w:tcPr/>
          <w:p>
            <w:pPr>
              <w:pStyle w:val="Compact"/>
              <w:jc w:val="left"/>
            </w:pPr>
            <w:r>
              <w:t xml:space="preserve">€ 65.00</w:t>
            </w:r>
          </w:p>
        </w:tc>
        <w:tc>
          <w:tcPr/>
          <w:p>
            <w:pPr>
              <w:pStyle w:val="Compact"/>
              <w:jc w:val="left"/>
            </w:pPr>
            <w:r>
              <w:t xml:space="preserve">€ 65.00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€ 5,730.00</w:t>
            </w:r>
          </w:p>
        </w:tc>
      </w:tr>
      <w:tr>
        <w:tc>
          <w:tcPr/>
          <w:p>
            <w:pPr>
              <w:pStyle w:val="Compact"/>
              <w:jc w:val="left"/>
            </w:pPr>
            <w:r>
              <w:t xml:space="preserve">VAT (21% – Netherlands)</w:t>
            </w:r>
          </w:p>
        </w:tc>
        <w:tc>
          <w:tcPr/>
          <w:p>
            <w:pPr>
              <w:pStyle w:val="Compact"/>
              <w:jc w:val="left"/>
            </w:pPr>
            <w:r>
              <w:t xml:space="preserve">€ 1,203.30</w:t>
            </w:r>
          </w:p>
        </w:tc>
      </w:tr>
      <w:tr>
        <w:tc>
          <w:tcPr/>
          <w:p>
            <w:pPr>
              <w:pStyle w:val="Compact"/>
              <w:jc w:val="left"/>
            </w:pPr>
            <w:r>
              <w:t xml:space="preserve">Grand Total</w:t>
            </w:r>
          </w:p>
        </w:tc>
        <w:tc>
          <w:tcPr/>
          <w:p>
            <w:pPr>
              <w:pStyle w:val="Compact"/>
              <w:jc w:val="left"/>
            </w:pPr>
            <w:r>
              <w:t xml:space="preserve">€ 6,933.30</w:t>
            </w:r>
          </w:p>
        </w:tc>
      </w:tr>
    </w:tbl>
    <w:bookmarkStart w:id="25" w:name="terms-conditions-payment-instructions"/>
    <w:p>
      <w:pPr>
        <w:pStyle w:val="Heading3"/>
      </w:pPr>
      <w:r>
        <w:t xml:space="preserve">Terms, Conditions &amp; Payment Instructions</w:t>
      </w:r>
    </w:p>
    <w:p>
      <w:pPr>
        <w:pStyle w:val="FirstParagraph"/>
      </w:pPr>
      <w:r>
        <w:rPr>
          <w:bCs/>
          <w:b/>
        </w:rPr>
        <w:t xml:space="preserve">1.</w:t>
      </w:r>
      <w:r>
        <w:t xml:space="preserve"> </w:t>
      </w:r>
      <w:r>
        <w:t xml:space="preserve">This Invoice is issued by the Rechtbank Amsterdam, Netherlands, in connection with the judicial proceedings presided over by Judge Mr. H. van der Berg. All services were rendered at the court premises located at Herengracht 460, 1017 CA Amsterdam, Netherlands.</w:t>
      </w:r>
    </w:p>
    <w:p>
      <w:pPr>
        <w:pStyle w:val="BodyText"/>
      </w:pPr>
      <w:r>
        <w:rPr>
          <w:bCs/>
          <w:b/>
        </w:rPr>
        <w:t xml:space="preserve">2.</w:t>
      </w:r>
      <w:r>
        <w:t xml:space="preserve"> </w:t>
      </w:r>
      <w:r>
        <w:t xml:space="preserve">Payment of the full Invoice amount of € 6,933.30 (six thousand nine hundred thirty-three euros and thirty cents) is due within thirty (30) calendar days from the date of issue, no later than 14 July 2025. Payment shall be made via bank transfer to the IBAN specified above, referencing Invoice number INV-2025-AMST-04872 and Case Reference C/25/584712.</w:t>
      </w:r>
    </w:p>
    <w:p>
      <w:pPr>
        <w:pStyle w:val="BodyText"/>
      </w:pPr>
      <w:r>
        <w:rPr>
          <w:bCs/>
          <w:b/>
        </w:rPr>
        <w:t xml:space="preserve">3.</w:t>
      </w:r>
      <w:r>
        <w:t xml:space="preserve"> </w:t>
      </w:r>
      <w:r>
        <w:t xml:space="preserve">In the event of late payment, a statutory interest rate of 8% per annum shall apply in accordance with Article 6:119a of the Dutch Civil Code (Burgerlijk Wetboek). Additionally, a late payment fee of € 50.00 will be added to the outstanding balance.</w:t>
      </w:r>
    </w:p>
    <w:p>
      <w:pPr>
        <w:pStyle w:val="BodyText"/>
      </w:pPr>
      <w:r>
        <w:rPr>
          <w:bCs/>
          <w:b/>
        </w:rPr>
        <w:t xml:space="preserve">4.</w:t>
      </w:r>
      <w:r>
        <w:t xml:space="preserve"> </w:t>
      </w:r>
      <w:r>
        <w:t xml:space="preserve">The Judge's rulings, written judgments, and all court documents referenced in this Invoice are final and binding in accordance with Dutch procedural law. Any disputes regarding the charges listed on this Invoice must be submitted in writing to the administrative office of the Rechtbank Amsterdam within fourteen (14) days of receipt.</w:t>
      </w:r>
    </w:p>
    <w:p>
      <w:pPr>
        <w:pStyle w:val="BodyText"/>
      </w:pPr>
      <w:r>
        <w:rPr>
          <w:bCs/>
          <w:b/>
        </w:rPr>
        <w:t xml:space="preserve">5.</w:t>
      </w:r>
      <w:r>
        <w:t xml:space="preserve"> </w:t>
      </w:r>
      <w:r>
        <w:t xml:space="preserve">This Invoice is valid only for the specific case and proceedings identified herein. It may not be transferred, assigned, or applied to any other matter without prior written consent from the court administration in Amsterdam, Netherlands.</w:t>
      </w:r>
    </w:p>
    <w:p>
      <w:pPr>
        <w:pStyle w:val="BodyText"/>
      </w:pPr>
      <w:r>
        <w:rPr>
          <w:bCs/>
          <w:b/>
        </w:rPr>
        <w:t xml:space="preserve">6.</w:t>
      </w:r>
      <w:r>
        <w:t xml:space="preserve"> </w:t>
      </w:r>
      <w:r>
        <w:t xml:space="preserve">All personal data processed in connection with this Invoice and the associated judicial proceedings are handled in full compliance with the General Data Protection Regulation (GDPR) and the Dutch Implementation Act (UAVG).</w:t>
      </w:r>
    </w:p>
    <w:bookmarkEnd w:id="25"/>
    <w:p>
      <w:pPr>
        <w:pStyle w:val="BodyText"/>
      </w:pPr>
      <w:r>
        <w:rPr>
          <w:bCs/>
          <w:b/>
        </w:rPr>
        <w:t xml:space="preserve">Rechtbank Amsterdam</w:t>
      </w:r>
      <w:r>
        <w:t xml:space="preserve"> </w:t>
      </w:r>
      <w:r>
        <w:t xml:space="preserve">| Herengracht 460, 1017 CA Amsterdam, Netherlands</w:t>
      </w:r>
    </w:p>
    <w:p>
      <w:pPr>
        <w:pStyle w:val="BodyText"/>
      </w:pPr>
      <w:r>
        <w:t xml:space="preserve">Presiding Judge: Mr. H. van der Berg | Invoice Ref: INV-2025-AMST-04872 | Case: C/25/584712</w:t>
      </w:r>
    </w:p>
    <w:p>
      <w:pPr>
        <w:pStyle w:val="BodyText"/>
      </w:pPr>
      <w:r>
        <w:t xml:space="preserve">This Invoice was generated electronically and is valid without a physical signature. For verification, please contact the court registry at secretaris@rechtbankamsterdam.nl or +31 (0)20 514 4000.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Amsterdam, Netherlands</dc:title>
  <dc:creator/>
  <dc:language>en</dc:language>
  <cp:keywords/>
  <dcterms:created xsi:type="dcterms:W3CDTF">2026-10-10T06:58:30Z</dcterms:created>
  <dcterms:modified xsi:type="dcterms:W3CDTF">2026-10-10T06:58:30Z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