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invoice"/>
    <w:p>
      <w:pPr>
        <w:pStyle w:val="Heading1"/>
      </w:pPr>
      <w:r>
        <w:t xml:space="preserve">INVOICE</w:t>
      </w:r>
    </w:p>
    <w:p>
      <w:pPr>
        <w:pStyle w:val="FirstParagraph"/>
      </w:pPr>
      <w:r>
        <w:t xml:space="preserve">Judicial Advisory &amp; Legal Services — Qatar Doha</w:t>
      </w:r>
    </w:p>
    <w:p>
      <w:pPr>
        <w:pStyle w:val="BodyText"/>
      </w:pPr>
      <w:r>
        <w:t xml:space="preserve">OFFICIAL JUDICIAL DOCUMENT</w:t>
      </w:r>
    </w:p>
    <w:bookmarkEnd w:id="20"/>
    <w:p>
      <w:pPr>
        <w:pStyle w:val="BodyText"/>
      </w:pPr>
      <w:r>
        <w:rPr>
          <w:bCs/>
          <w:b/>
        </w:rPr>
        <w:t xml:space="preserve">Invoice No.:</w:t>
      </w:r>
      <w:r>
        <w:t xml:space="preserve"> </w:t>
      </w:r>
      <w:r>
        <w:t xml:space="preserve">QD-JDG-2025-04782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Supreme Court of Qatar — Doha</w:t>
      </w:r>
    </w:p>
    <w:p>
      <w:pPr>
        <w:pStyle w:val="BodyText"/>
      </w:pPr>
      <w:r>
        <w:rPr>
          <w:bCs/>
          <w:b/>
        </w:rPr>
        <w:t xml:space="preserve">Currency:</w:t>
      </w:r>
      <w:r>
        <w:t xml:space="preserve"> </w:t>
      </w:r>
      <w:r>
        <w:t xml:space="preserve">QAR (Qatari Riyal)</w:t>
      </w:r>
    </w:p>
    <w:bookmarkStart w:id="21" w:name="billed-by-service-provider"/>
    <w:p>
      <w:pPr>
        <w:pStyle w:val="Heading3"/>
      </w:pPr>
      <w:r>
        <w:t xml:space="preserve">Billed By (Service Provider)</w:t>
      </w:r>
    </w:p>
    <w:p>
      <w:pPr>
        <w:pStyle w:val="FirstParagraph"/>
      </w:pPr>
      <w:r>
        <w:rPr>
          <w:bCs/>
          <w:b/>
        </w:rPr>
        <w:t xml:space="preserve">Hon. Judge Khalid bin Abdullah Al-Mansoori</w:t>
      </w:r>
    </w:p>
    <w:p>
      <w:pPr>
        <w:pStyle w:val="BodyText"/>
      </w:pPr>
      <w:r>
        <w:t xml:space="preserve">Senior Judicial Officer, Civil &amp; Commercial Division</w:t>
      </w:r>
    </w:p>
    <w:p>
      <w:pPr>
        <w:pStyle w:val="BodyText"/>
      </w:pPr>
      <w:r>
        <w:t xml:space="preserve">Supreme Court of Qatar</w:t>
      </w:r>
    </w:p>
    <w:p>
      <w:pPr>
        <w:pStyle w:val="BodyText"/>
      </w:pPr>
      <w:r>
        <w:t xml:space="preserve">Al Sadd District, Doha, Qatar</w:t>
      </w:r>
    </w:p>
    <w:p>
      <w:pPr>
        <w:pStyle w:val="BodyText"/>
      </w:pPr>
      <w:r>
        <w:t xml:space="preserve">P.O. Box 4821, Doha 1154, State of Qatar</w:t>
      </w:r>
    </w:p>
    <w:p>
      <w:pPr>
        <w:pStyle w:val="BodyText"/>
      </w:pPr>
      <w:r>
        <w:t xml:space="preserve">Tel: +974-4455-6677</w:t>
      </w:r>
    </w:p>
    <w:p>
      <w:pPr>
        <w:pStyle w:val="BodyText"/>
      </w:pPr>
      <w:r>
        <w:t xml:space="preserve">Email: judicial.services@court.qa</w:t>
      </w:r>
    </w:p>
    <w:p>
      <w:pPr>
        <w:pStyle w:val="BodyText"/>
      </w:pPr>
      <w:r>
        <w:t xml:space="preserve">Qatar Tax Registration No.: QTR-2024-88341</w:t>
      </w:r>
    </w:p>
    <w:bookmarkEnd w:id="21"/>
    <w:bookmarkStart w:id="22" w:name="billed-to-client-paying-entity"/>
    <w:p>
      <w:pPr>
        <w:pStyle w:val="Heading3"/>
      </w:pPr>
      <w:r>
        <w:t xml:space="preserve">Billed To (Client / Paying Entity)</w:t>
      </w:r>
    </w:p>
    <w:p>
      <w:pPr>
        <w:pStyle w:val="FirstParagraph"/>
      </w:pPr>
      <w:r>
        <w:rPr>
          <w:bCs/>
          <w:b/>
        </w:rPr>
        <w:t xml:space="preserve">Al Rayyan International Trading LLC</w:t>
      </w:r>
    </w:p>
    <w:p>
      <w:pPr>
        <w:pStyle w:val="BodyText"/>
      </w:pPr>
      <w:r>
        <w:t xml:space="preserve">Attn: Mr. Faisal Al-Thani, General Counsel</w:t>
      </w:r>
    </w:p>
    <w:p>
      <w:pPr>
        <w:pStyle w:val="BodyText"/>
      </w:pPr>
      <w:r>
        <w:t xml:space="preserve">Office 12, Level 4, Doha Financial Centre</w:t>
      </w:r>
    </w:p>
    <w:p>
      <w:pPr>
        <w:pStyle w:val="BodyText"/>
      </w:pPr>
      <w:r>
        <w:t xml:space="preserve">Sheikh Jassim Avenue, Doha, Qatar</w:t>
      </w:r>
    </w:p>
    <w:p>
      <w:pPr>
        <w:pStyle w:val="BodyText"/>
      </w:pPr>
      <w:r>
        <w:t xml:space="preserve">P.O. Box 3356, Doha 1138, State of Qatar</w:t>
      </w:r>
    </w:p>
    <w:p>
      <w:pPr>
        <w:pStyle w:val="BodyText"/>
      </w:pPr>
      <w:r>
        <w:t xml:space="preserve">Tel: +974-4012-3456</w:t>
      </w:r>
    </w:p>
    <w:p>
      <w:pPr>
        <w:pStyle w:val="BodyText"/>
      </w:pPr>
      <w:r>
        <w:t xml:space="preserve">Email: legal@alrayyanintl.qa</w:t>
      </w:r>
    </w:p>
    <w:p>
      <w:pPr>
        <w:pStyle w:val="BodyText"/>
      </w:pPr>
      <w:r>
        <w:t xml:space="preserve">Commercial Registration No.: CR-2019-55672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Judicial Service</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Presiding Judge consultation and case review for commercial dispute (Case No. 2025/CV/11847) before the Doha Commercial Court. Includes written judicial opinion and preliminary ruling assessment.</w:t>
            </w:r>
          </w:p>
        </w:tc>
        <w:tc>
          <w:tcPr/>
          <w:p>
            <w:pPr>
              <w:pStyle w:val="Compact"/>
              <w:jc w:val="left"/>
            </w:pPr>
            <w:r>
              <w:t xml:space="preserve">02 Jun 2025</w:t>
            </w:r>
          </w:p>
        </w:tc>
        <w:tc>
          <w:tcPr/>
          <w:p>
            <w:pPr>
              <w:pStyle w:val="Compact"/>
              <w:jc w:val="left"/>
            </w:pPr>
            <w:r>
              <w:t xml:space="preserve">6 hours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2</w:t>
            </w:r>
          </w:p>
        </w:tc>
        <w:tc>
          <w:tcPr/>
          <w:p>
            <w:pPr>
              <w:pStyle w:val="Compact"/>
              <w:jc w:val="left"/>
            </w:pPr>
            <w:r>
              <w:t xml:space="preserve">Judge-led mediation session conducted at the Qatar Doha Mediation Centre. The presiding Judge facilitated negotiation between the parties regarding contractual obligations under Qatari Commercial Law (Law No. 11 of 2014).</w:t>
            </w:r>
          </w:p>
        </w:tc>
        <w:tc>
          <w:tcPr/>
          <w:p>
            <w:pPr>
              <w:pStyle w:val="Compact"/>
              <w:jc w:val="left"/>
            </w:pPr>
            <w:r>
              <w:t xml:space="preserve">05 Jun 2025</w:t>
            </w:r>
          </w:p>
        </w:tc>
        <w:tc>
          <w:tcPr/>
          <w:p>
            <w:pPr>
              <w:pStyle w:val="Compact"/>
              <w:jc w:val="left"/>
            </w:pPr>
            <w:r>
              <w:t xml:space="preserve">4 hours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Preparation and issuance of formal judicial memorandum regarding enforcement of foreign arbitral awards in Qatar Doha, in compliance with the New York Convention and Qatari Civil and Commercial Procedure Law.</w:t>
            </w:r>
          </w:p>
        </w:tc>
        <w:tc>
          <w:tcPr/>
          <w:p>
            <w:pPr>
              <w:pStyle w:val="Compact"/>
              <w:jc w:val="left"/>
            </w:pPr>
            <w:r>
              <w:t xml:space="preserve">09 Jun 2025</w:t>
            </w:r>
          </w:p>
        </w:tc>
        <w:tc>
          <w:tcPr/>
          <w:p>
            <w:pPr>
              <w:pStyle w:val="Compact"/>
              <w:jc w:val="left"/>
            </w:pPr>
            <w:r>
              <w:t xml:space="preserve">8 hours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Judge's advisory briefing for corporate legal team on compliance with the Qatar Doha Financial Centre (QDFC) regulatory framework, including interpretation of judicial precedents issued by the Court of Cassation.</w:t>
            </w:r>
          </w:p>
        </w:tc>
        <w:tc>
          <w:tcPr/>
          <w:p>
            <w:pPr>
              <w:pStyle w:val="Compact"/>
              <w:jc w:val="left"/>
            </w:pPr>
            <w:r>
              <w:t xml:space="preserve">11 Jun 2025</w:t>
            </w:r>
          </w:p>
        </w:tc>
        <w:tc>
          <w:tcPr/>
          <w:p>
            <w:pPr>
              <w:pStyle w:val="Compact"/>
              <w:jc w:val="left"/>
            </w:pPr>
            <w:r>
              <w:t xml:space="preserve">3 hours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Administrative and clerical support for the Judge's office: filing of court documents, scheduling of hearings at the Doha Judicial Complex, and coordination with the Ministry of Justice of Qatar.</w:t>
            </w:r>
          </w:p>
        </w:tc>
        <w:tc>
          <w:tcPr/>
          <w:p>
            <w:pPr>
              <w:pStyle w:val="Compact"/>
              <w:jc w:val="left"/>
            </w:pPr>
            <w:r>
              <w:t xml:space="preserve">13 Jun 2025</w:t>
            </w:r>
          </w:p>
        </w:tc>
        <w:tc>
          <w:tcPr/>
          <w:p>
            <w:pPr>
              <w:pStyle w:val="Compact"/>
              <w:jc w:val="left"/>
            </w:pPr>
            <w:r>
              <w:t xml:space="preserve">5 hours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Travel and logistics for the Judge's attendance at a special session of the Doha International Arbitration Conference, including venue coordination and official court representation.</w:t>
            </w:r>
          </w:p>
        </w:tc>
        <w:tc>
          <w:tcPr/>
          <w:p>
            <w:pPr>
              <w:pStyle w:val="Compact"/>
              <w:jc w:val="left"/>
            </w:pPr>
            <w:r>
              <w:t xml:space="preserve">14 Jun 2025</w:t>
            </w:r>
          </w:p>
        </w:tc>
        <w:tc>
          <w:tcPr/>
          <w:p>
            <w:pPr>
              <w:pStyle w:val="Compact"/>
              <w:jc w:val="left"/>
            </w:pPr>
            <w:r>
              <w:t xml:space="preserve">1 day</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QAR 25,550.00</w:t>
      </w:r>
    </w:p>
    <w:p>
      <w:pPr>
        <w:pStyle w:val="BodyText"/>
      </w:pPr>
      <w:r>
        <w:t xml:space="preserve">VAT (5% — Qatar Standard Rate):</w:t>
      </w:r>
      <w:r>
        <w:t xml:space="preserve">QAR 1,277.50</w:t>
      </w:r>
    </w:p>
    <w:p>
      <w:pPr>
        <w:pStyle w:val="BodyText"/>
      </w:pPr>
      <w:r>
        <w:t xml:space="preserve">Court Filing &amp; Administrative Fees:</w:t>
      </w:r>
      <w:r>
        <w:t xml:space="preserve">QAR 850.00</w:t>
      </w:r>
    </w:p>
    <w:p>
      <w:pPr>
        <w:pStyle w:val="BodyText"/>
      </w:pPr>
      <w:r>
        <w:t xml:space="preserve">GRAND TOTAL DUE:</w:t>
      </w:r>
      <w:r>
        <w:t xml:space="preserve">QAR 27,677.50</w:t>
      </w:r>
    </w:p>
    <w:bookmarkStart w:id="23" w:name="payment-instructions-notes"/>
    <w:p>
      <w:pPr>
        <w:pStyle w:val="Heading3"/>
      </w:pPr>
      <w:r>
        <w:t xml:space="preserve">Payment Instructions &amp; Notes</w:t>
      </w:r>
    </w:p>
    <w:p>
      <w:pPr>
        <w:pStyle w:val="FirstParagraph"/>
      </w:pPr>
      <w:r>
        <w:rPr>
          <w:bCs/>
          <w:b/>
        </w:rPr>
        <w:t xml:space="preserve">Bank:</w:t>
      </w:r>
      <w:r>
        <w:t xml:space="preserve"> </w:t>
      </w:r>
      <w:r>
        <w:t xml:space="preserve">QNB (Qatar National Bank), Doha Main Branch</w:t>
      </w:r>
    </w:p>
    <w:p>
      <w:pPr>
        <w:pStyle w:val="BodyText"/>
      </w:pPr>
      <w:r>
        <w:rPr>
          <w:bCs/>
          <w:b/>
        </w:rPr>
        <w:t xml:space="preserve">Account Name:</w:t>
      </w:r>
      <w:r>
        <w:t xml:space="preserve"> </w:t>
      </w:r>
      <w:r>
        <w:t xml:space="preserve">Supreme Court of Qatar — Judicial Services Fund</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t xml:space="preserve">Please reference Invoice No. QD-JDG-2025-04782 in all payment communications. Payment is due within thirty (30) calendar days from the date of issue. Late payments shall incur a penalty of 1.5% per month as stipulated under Qatari commercial regulations. This Invoice is valid only for the judicial services rendered in Qatar Doha during the period specified above and does not constitute a final court judgment or binding legal ruling.</w:t>
      </w:r>
    </w:p>
    <w:bookmarkEnd w:id="23"/>
    <w:bookmarkStart w:id="24" w:name="X0d1a7cacf9f0e049a1d07937699a70b8e1788c5"/>
    <w:p>
      <w:pPr>
        <w:pStyle w:val="Heading3"/>
      </w:pPr>
      <w:r>
        <w:t xml:space="preserve">Terms &amp; Conditions — Judicial Services Invoice</w:t>
      </w:r>
    </w:p>
    <w:p>
      <w:pPr>
        <w:pStyle w:val="FirstParagraph"/>
      </w:pPr>
      <w:r>
        <w:t xml:space="preserve">1. This Invoice is issued in accordance with the regulations governing judicial administrative services in the State of Qatar and is subject to the laws of Qatar Doha, including the Qatari Civil Code and the Law of Civil and Commercial Procedure.</w:t>
      </w:r>
    </w:p>
    <w:p>
      <w:pPr>
        <w:pStyle w:val="BodyText"/>
      </w:pPr>
      <w:r>
        <w:t xml:space="preserve">2. All services described herein were rendered by or under the direct supervision of the presiding Judge in an official capacity. The Judge's professional judgment, written opinions, and mediation outcomes are confidential and protected under Qatari judicial privilege statutes.</w:t>
      </w:r>
    </w:p>
    <w:p>
      <w:pPr>
        <w:pStyle w:val="BodyText"/>
      </w:pPr>
      <w:r>
        <w:t xml:space="preserve">3. The client acknowledges that the amounts invoiced cover professional judicial time, administrative overhead, and associated court fees. No portion of this Invoice may be refunded unless the service was not rendered as described.</w:t>
      </w:r>
    </w:p>
    <w:p>
      <w:pPr>
        <w:pStyle w:val="BodyText"/>
      </w:pPr>
      <w:r>
        <w:t xml:space="preserve">4. Disputes arising from this Invoice shall be resolved exclusively by the competent courts in Doha, Qatar. The parties consent to the jurisdiction of the Doha Commercial Court for any billing-related disputes.</w:t>
      </w:r>
    </w:p>
    <w:p>
      <w:pPr>
        <w:pStyle w:val="BodyText"/>
      </w:pPr>
      <w:r>
        <w:t xml:space="preserve">5. This Invoice must be retained by the client for a minimum period of seven (7) years in compliance with Qatar's tax and commercial record-keeping requirements.</w:t>
      </w:r>
    </w:p>
    <w:bookmarkEnd w:id="24"/>
    <w:p>
      <w:pPr>
        <w:pStyle w:val="BodyText"/>
      </w:pPr>
      <w:r>
        <w:t xml:space="preserve">This Invoice was generated by the Office of the Presiding Judge, Supreme Court of Qatar, Doha. For authentication, please verify the document reference number with the Court Registry at Al Sadd Judicial Complex, Doha, Qatar.</w:t>
      </w:r>
    </w:p>
    <w:p>
      <w:pPr>
        <w:pStyle w:val="BodyText"/>
      </w:pPr>
      <w:r>
        <w:t xml:space="preserve">© 2025 Supreme Court of Qatar — Judicial Services Division, Doha. All rights reserved. | Document ID: QD-JDG-2025-04782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Qatar Doha</dc:title>
  <dc:creator/>
  <dc:language>en</dc:language>
  <cp:keywords/>
  <dcterms:created xsi:type="dcterms:W3CDTF">2026-10-10T06:21:33Z</dcterms:created>
  <dcterms:modified xsi:type="dcterms:W3CDTF">2026-10-10T06:21:33Z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