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invoice"/>
    <w:p>
      <w:pPr>
        <w:pStyle w:val="Heading1"/>
      </w:pPr>
      <w:r>
        <w:t xml:space="preserve">INVOICE</w:t>
      </w:r>
    </w:p>
    <w:p>
      <w:pPr>
        <w:pStyle w:val="FirstParagraph"/>
      </w:pPr>
      <w:r>
        <w:t xml:space="preserve">Judicial and Arbitration Services — Saint Petersburg, Russia</w:t>
      </w:r>
    </w:p>
    <w:p>
      <w:pPr>
        <w:pStyle w:val="BodyText"/>
      </w:pPr>
      <w:r>
        <w:t xml:space="preserve">OFFICIAL DOCUMENT</w:t>
      </w:r>
    </w:p>
    <w:bookmarkEnd w:id="20"/>
    <w:bookmarkStart w:id="21" w:name="issued-by-service-provider"/>
    <w:p>
      <w:pPr>
        <w:pStyle w:val="Heading3"/>
      </w:pPr>
      <w:r>
        <w:t xml:space="preserve">Issued By (Service Provider)</w:t>
      </w:r>
    </w:p>
    <w:p>
      <w:pPr>
        <w:pStyle w:val="FirstParagraph"/>
      </w:pPr>
      <w:r>
        <w:rPr>
          <w:bCs/>
          <w:b/>
        </w:rPr>
        <w:t xml:space="preserve">Hon. Dr. Alexander V. Petrov</w:t>
      </w:r>
    </w:p>
    <w:p>
      <w:pPr>
        <w:pStyle w:val="BodyText"/>
      </w:pPr>
      <w:r>
        <w:t xml:space="preserve">Independent Judicial Arbitrator &amp; Legal Counsel</w:t>
      </w:r>
    </w:p>
    <w:p>
      <w:pPr>
        <w:pStyle w:val="BodyText"/>
      </w:pPr>
      <w:r>
        <w:t xml:space="preserve">Office: 44 Nevsky Prospekt, Suite 712</w:t>
      </w:r>
    </w:p>
    <w:p>
      <w:pPr>
        <w:pStyle w:val="BodyText"/>
      </w:pPr>
      <w:r>
        <w:t xml:space="preserve">Saint Petersburg, 191025, Russian Federation</w:t>
      </w:r>
    </w:p>
    <w:p>
      <w:pPr>
        <w:pStyle w:val="BodyText"/>
      </w:pPr>
      <w:r>
        <w:t xml:space="preserve">Taxpayer ID (INN): 7805432109</w:t>
      </w:r>
    </w:p>
    <w:p>
      <w:pPr>
        <w:pStyle w:val="BodyText"/>
      </w:pPr>
      <w:r>
        <w:t xml:space="preserve">Registration No. (OGRNIP): 315784700123456</w:t>
      </w:r>
    </w:p>
    <w:p>
      <w:pPr>
        <w:pStyle w:val="BodyText"/>
      </w:pPr>
      <w:r>
        <w:t xml:space="preserve">Email: a.petrov@spb-judicial-consult.ru</w:t>
      </w:r>
    </w:p>
    <w:p>
      <w:pPr>
        <w:pStyle w:val="BodyText"/>
      </w:pPr>
      <w:r>
        <w:t xml:space="preserve">Phone: +7 (812) 555-0147</w:t>
      </w:r>
    </w:p>
    <w:bookmarkEnd w:id="21"/>
    <w:bookmarkStart w:id="22" w:name="billed-to-client"/>
    <w:p>
      <w:pPr>
        <w:pStyle w:val="Heading3"/>
      </w:pPr>
      <w:r>
        <w:t xml:space="preserve">Billed To (Client)</w:t>
      </w:r>
    </w:p>
    <w:p>
      <w:pPr>
        <w:pStyle w:val="FirstParagraph"/>
      </w:pPr>
      <w:r>
        <w:rPr>
          <w:bCs/>
          <w:b/>
        </w:rPr>
        <w:t xml:space="preserve">LLC "Baltic Trade Partners"</w:t>
      </w:r>
    </w:p>
    <w:p>
      <w:pPr>
        <w:pStyle w:val="BodyText"/>
      </w:pPr>
      <w:r>
        <w:t xml:space="preserve">Attn: General Counsel, Ms. Irina S. Volkova</w:t>
      </w:r>
    </w:p>
    <w:p>
      <w:pPr>
        <w:pStyle w:val="BodyText"/>
      </w:pPr>
      <w:r>
        <w:t xml:space="preserve">Address: 12 Vasilyevsky Island, St. 3</w:t>
      </w:r>
    </w:p>
    <w:p>
      <w:pPr>
        <w:pStyle w:val="BodyText"/>
      </w:pPr>
      <w:r>
        <w:t xml:space="preserve">Saint Petersburg, 199034, Russian Federation</w:t>
      </w:r>
    </w:p>
    <w:p>
      <w:pPr>
        <w:pStyle w:val="BodyText"/>
      </w:pPr>
      <w:r>
        <w:t xml:space="preserve">Taxpayer ID (INN): 7811987654</w:t>
      </w:r>
    </w:p>
    <w:p>
      <w:pPr>
        <w:pStyle w:val="BodyText"/>
      </w:pPr>
      <w:r>
        <w:t xml:space="preserve">Registration No. (OGRN): 1147847098765</w:t>
      </w:r>
    </w:p>
    <w:p>
      <w:pPr>
        <w:pStyle w:val="BodyText"/>
      </w:pPr>
      <w:r>
        <w:t xml:space="preserve">Email: legal@baltictrade.ru</w:t>
      </w:r>
    </w:p>
    <w:bookmarkEnd w:id="22"/>
    <w:p>
      <w:pPr>
        <w:pStyle w:val="BodyText"/>
      </w:pPr>
      <w:r>
        <w:rPr>
          <w:bCs/>
          <w:b/>
        </w:rPr>
        <w:t xml:space="preserve">Invoice Number:</w:t>
      </w:r>
      <w:r>
        <w:t xml:space="preserve"> </w:t>
      </w:r>
      <w:r>
        <w:t xml:space="preserve">SPB-JDG-2025-00487</w:t>
      </w:r>
    </w:p>
    <w:p>
      <w:pPr>
        <w:pStyle w:val="BodyText"/>
      </w:pPr>
      <w:r>
        <w:rPr>
          <w:bCs/>
          <w:b/>
        </w:rPr>
        <w:t xml:space="preserve">Date of Issue:</w:t>
      </w:r>
      <w:r>
        <w:t xml:space="preserve"> </w:t>
      </w:r>
      <w:r>
        <w:t xml:space="preserve">14 June 2025</w:t>
      </w:r>
    </w:p>
    <w:p>
      <w:pPr>
        <w:pStyle w:val="BodyText"/>
      </w:pPr>
      <w:r>
        <w:rPr>
          <w:bCs/>
          <w:b/>
        </w:rPr>
        <w:t xml:space="preserve">Date of Service Rendered:</w:t>
      </w:r>
      <w:r>
        <w:t xml:space="preserve"> </w:t>
      </w:r>
      <w:r>
        <w:t xml:space="preserve">2 June 2025 – 10 June 2025</w:t>
      </w:r>
    </w:p>
    <w:p>
      <w:pPr>
        <w:pStyle w:val="BodyText"/>
      </w:pPr>
      <w:r>
        <w:rPr>
          <w:bCs/>
          <w:b/>
        </w:rPr>
        <w:t xml:space="preserve">Due Date:</w:t>
      </w:r>
      <w:r>
        <w:t xml:space="preserve"> </w:t>
      </w:r>
      <w:r>
        <w:t xml:space="preserve">14 July 2025 (30 days from issue)</w:t>
      </w:r>
    </w:p>
    <w:p>
      <w:pPr>
        <w:pStyle w:val="BodyText"/>
      </w:pPr>
      <w:r>
        <w:rPr>
          <w:bCs/>
          <w:b/>
        </w:rPr>
        <w:t xml:space="preserve">Currency:</w:t>
      </w:r>
      <w:r>
        <w:t xml:space="preserve"> </w:t>
      </w:r>
      <w:r>
        <w:t xml:space="preserve">Russian Ruble (RUB / &amp;rub;)</w:t>
      </w:r>
    </w:p>
    <w:p>
      <w:pPr>
        <w:pStyle w:val="BodyText"/>
      </w:pPr>
      <w:r>
        <w:rPr>
          <w:bCs/>
          <w:b/>
        </w:rPr>
        <w:t xml:space="preserve">Payment Method:</w:t>
      </w:r>
      <w:r>
        <w:t xml:space="preserve"> </w:t>
      </w:r>
      <w:r>
        <w:t xml:space="preserve">Bank Transfer to Sberbank, Account No. 40702810400000012345, BIC: SABRRU33</w:t>
      </w:r>
    </w:p>
    <w:p>
      <w:pPr>
        <w:pStyle w:val="BodyText"/>
      </w:pPr>
      <w:r>
        <w:rPr>
          <w:bCs/>
          <w:b/>
        </w:rPr>
        <w:t xml:space="preserve">Governing Jurisdiction:</w:t>
      </w:r>
      <w:r>
        <w:t xml:space="preserve"> </w:t>
      </w:r>
      <w:r>
        <w:t xml:space="preserve">City of Saint Petersburg, Russian Federation</w:t>
      </w:r>
    </w:p>
    <w:bookmarkStart w:id="24" w:name="X5c900862c410cd2bf38b8de1bc4922a25552c74"/>
    <w:p>
      <w:pPr>
        <w:pStyle w:val="Heading2"/>
      </w:pPr>
      <w:r>
        <w:t xml:space="preserve">Description of Judicial Services Rendered</w:t>
      </w:r>
    </w:p>
    <w:p>
      <w:pPr>
        <w:pStyle w:val="FirstParagraph"/>
      </w:pPr>
      <w:r>
        <w:t xml:space="preserve">The following Invoice pertains to professional services provided by an independent Judge and Arbitrator in the capacity of a neutral third-party adjudicator, legal consultant, and dispute resolution specialist. All services were performed in accordance with the Civil Procedure Code of the Russian Federation, the Arbitration Procedure Code of the Russian Federation, and the applicable regulations of the Saint Petersburg municipal judicial system. The Judge's engagement was commissioned by the client to resolve a commercial dispute, provide expert judicial opinion, and conduct arbitration proceedings within the jurisdiction of Saint Petersburg, Russia.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(RUB)</w:t>
            </w:r>
          </w:p>
        </w:tc>
        <w:tc>
          <w:tcPr/>
          <w:p>
            <w:pPr>
              <w:pStyle w:val="Compact"/>
              <w:jc w:val="left"/>
            </w:pPr>
            <w:r>
              <w:t xml:space="preserve">Hours / Units</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Pre-Arbitration Judicial Consultation:</w:t>
            </w:r>
            <w:r>
              <w:t xml:space="preserve"> </w:t>
            </w:r>
            <w:r>
              <w:t xml:space="preserve">Initial case assessment, review of contractual documents, and determination of jurisdictional applicability under Saint Petersburg municipal law. The Judge provided a written preliminary opinion on the merits of the dispute.</w:t>
            </w:r>
          </w:p>
        </w:tc>
        <w:tc>
          <w:tcPr/>
          <w:p>
            <w:pPr>
              <w:pStyle w:val="Compact"/>
              <w:jc w:val="left"/>
            </w:pPr>
            <w:r>
              <w:t xml:space="preserve">&amp;rub; 8,500</w:t>
            </w:r>
          </w:p>
        </w:tc>
        <w:tc>
          <w:tcPr/>
          <w:p>
            <w:pPr>
              <w:pStyle w:val="Compact"/>
              <w:jc w:val="left"/>
            </w:pPr>
            <w:r>
              <w:t xml:space="preserve">6 hrs</w:t>
            </w:r>
          </w:p>
        </w:tc>
        <w:tc>
          <w:tcPr/>
          <w:p>
            <w:pPr>
              <w:pStyle w:val="Compact"/>
              <w:jc w:val="left"/>
            </w:pPr>
            <w:r>
              <w:t xml:space="preserve">&amp;rub; 51,000</w:t>
            </w:r>
          </w:p>
        </w:tc>
        <w:tc>
          <w:tcPr/>
          <w:p>
            <w:pPr>
              <w:pStyle w:val="Compact"/>
              <w:jc w:val="left"/>
            </w:pPr>
            <w:r>
              <w:t xml:space="preserve">&amp;rub; 10,200</w:t>
            </w:r>
          </w:p>
        </w:tc>
      </w:tr>
      <w:tr>
        <w:tc>
          <w:tcPr/>
          <w:p>
            <w:pPr>
              <w:pStyle w:val="Compact"/>
              <w:jc w:val="left"/>
            </w:pPr>
            <w:r>
              <w:t xml:space="preserve">2</w:t>
            </w:r>
          </w:p>
        </w:tc>
        <w:tc>
          <w:tcPr/>
          <w:p>
            <w:pPr>
              <w:pStyle w:val="Compact"/>
              <w:jc w:val="left"/>
            </w:pPr>
            <w:r>
              <w:rPr>
                <w:bCs/>
                <w:b/>
              </w:rPr>
              <w:t xml:space="preserve">Arbitration Hearing — Day 1:</w:t>
            </w:r>
            <w:r>
              <w:t xml:space="preserve"> </w:t>
            </w:r>
            <w:r>
              <w:t xml:space="preserve">Conducted the first formal arbitration session at the Saint Petersburg International Arbitration Centre. The Judge presided over the proceedings, managed evidentiary submissions from both parties, and issued interim procedural orders.</w:t>
            </w:r>
          </w:p>
        </w:tc>
        <w:tc>
          <w:tcPr/>
          <w:p>
            <w:pPr>
              <w:pStyle w:val="Compact"/>
              <w:jc w:val="left"/>
            </w:pPr>
            <w:r>
              <w:t xml:space="preserve">&amp;rub; 12,000</w:t>
            </w:r>
          </w:p>
        </w:tc>
        <w:tc>
          <w:tcPr/>
          <w:p>
            <w:pPr>
              <w:pStyle w:val="Compact"/>
              <w:jc w:val="left"/>
            </w:pPr>
            <w:r>
              <w:t xml:space="preserve">8 hrs</w:t>
            </w:r>
          </w:p>
        </w:tc>
        <w:tc>
          <w:tcPr/>
          <w:p>
            <w:pPr>
              <w:pStyle w:val="Compact"/>
              <w:jc w:val="left"/>
            </w:pPr>
            <w:r>
              <w:t xml:space="preserve">&amp;rub; 96,000</w:t>
            </w:r>
          </w:p>
        </w:tc>
        <w:tc>
          <w:tcPr/>
          <w:p>
            <w:pPr>
              <w:pStyle w:val="Compact"/>
              <w:jc w:val="left"/>
            </w:pPr>
            <w:r>
              <w:t xml:space="preserve">&amp;rub; 19,200</w:t>
            </w:r>
          </w:p>
        </w:tc>
      </w:tr>
      <w:tr>
        <w:tc>
          <w:tcPr/>
          <w:p>
            <w:pPr>
              <w:pStyle w:val="Compact"/>
              <w:jc w:val="left"/>
            </w:pPr>
            <w:r>
              <w:t xml:space="preserve">3</w:t>
            </w:r>
          </w:p>
        </w:tc>
        <w:tc>
          <w:tcPr/>
          <w:p>
            <w:pPr>
              <w:pStyle w:val="Compact"/>
              <w:jc w:val="left"/>
            </w:pPr>
            <w:r>
              <w:rPr>
                <w:bCs/>
                <w:b/>
              </w:rPr>
              <w:t xml:space="preserve">Arbitration Hearing — Day 2:</w:t>
            </w:r>
            <w:r>
              <w:t xml:space="preserve"> </w:t>
            </w:r>
            <w:r>
              <w:t xml:space="preserve">Continued adjudication proceedings. The Judge heard witness testimonies, evaluated expert reports on commercial damages, and directed closing arguments. All proceedings were conducted in the Russian language in compliance with federal procedural standards.</w:t>
            </w:r>
          </w:p>
        </w:tc>
        <w:tc>
          <w:tcPr/>
          <w:p>
            <w:pPr>
              <w:pStyle w:val="Compact"/>
              <w:jc w:val="left"/>
            </w:pPr>
            <w:r>
              <w:t xml:space="preserve">&amp;rub; 12,000</w:t>
            </w:r>
          </w:p>
        </w:tc>
        <w:tc>
          <w:tcPr/>
          <w:p>
            <w:pPr>
              <w:pStyle w:val="Compact"/>
              <w:jc w:val="left"/>
            </w:pPr>
            <w:r>
              <w:t xml:space="preserve">8 hrs</w:t>
            </w:r>
          </w:p>
        </w:tc>
        <w:tc>
          <w:tcPr/>
          <w:p>
            <w:pPr>
              <w:pStyle w:val="Compact"/>
              <w:jc w:val="left"/>
            </w:pPr>
            <w:r>
              <w:t xml:space="preserve">&amp;rub; 96,000</w:t>
            </w:r>
          </w:p>
        </w:tc>
        <w:tc>
          <w:tcPr/>
          <w:p>
            <w:pPr>
              <w:pStyle w:val="Compact"/>
              <w:jc w:val="left"/>
            </w:pPr>
            <w:r>
              <w:t xml:space="preserve">&amp;rub; 19,200</w:t>
            </w:r>
          </w:p>
        </w:tc>
      </w:tr>
      <w:tr>
        <w:tc>
          <w:tcPr/>
          <w:p>
            <w:pPr>
              <w:pStyle w:val="Compact"/>
              <w:jc w:val="left"/>
            </w:pPr>
            <w:r>
              <w:t xml:space="preserve">4</w:t>
            </w:r>
          </w:p>
        </w:tc>
        <w:tc>
          <w:tcPr/>
          <w:p>
            <w:pPr>
              <w:pStyle w:val="Compact"/>
              <w:jc w:val="left"/>
            </w:pPr>
            <w:r>
              <w:rPr>
                <w:bCs/>
                <w:b/>
              </w:rPr>
              <w:t xml:space="preserve">Drafting of Judicial Award:</w:t>
            </w:r>
            <w:r>
              <w:t xml:space="preserve"> </w:t>
            </w:r>
            <w:r>
              <w:t xml:space="preserve">Preparation of the final arbitral award, including findings of fact, legal reasoning, application of Russian civil law provisions, and the operative part of the judgment. The award was drafted in both Russian and English for international enforceability.</w:t>
            </w:r>
          </w:p>
        </w:tc>
        <w:tc>
          <w:tcPr/>
          <w:p>
            <w:pPr>
              <w:pStyle w:val="Compact"/>
              <w:jc w:val="left"/>
            </w:pPr>
            <w:r>
              <w:t xml:space="preserve">&amp;rub; 15,000</w:t>
            </w:r>
          </w:p>
        </w:tc>
        <w:tc>
          <w:tcPr/>
          <w:p>
            <w:pPr>
              <w:pStyle w:val="Compact"/>
              <w:jc w:val="left"/>
            </w:pPr>
            <w:r>
              <w:t xml:space="preserve">12 hrs</w:t>
            </w:r>
          </w:p>
        </w:tc>
        <w:tc>
          <w:tcPr/>
          <w:p>
            <w:pPr>
              <w:pStyle w:val="Compact"/>
              <w:jc w:val="left"/>
            </w:pPr>
            <w:r>
              <w:t xml:space="preserve">&amp;rub; 180,000</w:t>
            </w:r>
          </w:p>
        </w:tc>
        <w:tc>
          <w:tcPr/>
          <w:p>
            <w:pPr>
              <w:pStyle w:val="Compact"/>
              <w:jc w:val="left"/>
            </w:pPr>
            <w:r>
              <w:t xml:space="preserve">&amp;rub; 36,000</w:t>
            </w:r>
          </w:p>
        </w:tc>
      </w:tr>
      <w:tr>
        <w:tc>
          <w:tcPr/>
          <w:p>
            <w:pPr>
              <w:pStyle w:val="Compact"/>
              <w:jc w:val="left"/>
            </w:pPr>
            <w:r>
              <w:t xml:space="preserve">5</w:t>
            </w:r>
          </w:p>
        </w:tc>
        <w:tc>
          <w:tcPr/>
          <w:p>
            <w:pPr>
              <w:pStyle w:val="Compact"/>
              <w:jc w:val="left"/>
            </w:pPr>
            <w:r>
              <w:rPr>
                <w:bCs/>
                <w:b/>
              </w:rPr>
              <w:t xml:space="preserve">Post-Award Judicial Review &amp; Filing:</w:t>
            </w:r>
            <w:r>
              <w:t xml:space="preserve"> </w:t>
            </w:r>
            <w:r>
              <w:t xml:space="preserve">The Judge conducted a final quality review of the award, certified the document, and filed the necessary paperwork with the Saint Petersburg Arbitration Court registry for enforcement purposes. Included notarization of the Judge's signature per Russian notarial law.</w:t>
            </w:r>
          </w:p>
        </w:tc>
        <w:tc>
          <w:tcPr/>
          <w:p>
            <w:pPr>
              <w:pStyle w:val="Compact"/>
              <w:jc w:val="left"/>
            </w:pPr>
            <w:r>
              <w:t xml:space="preserve">&amp;rub; 9,000</w:t>
            </w:r>
          </w:p>
        </w:tc>
        <w:tc>
          <w:tcPr/>
          <w:p>
            <w:pPr>
              <w:pStyle w:val="Compact"/>
              <w:jc w:val="left"/>
            </w:pPr>
            <w:r>
              <w:t xml:space="preserve">4 hrs</w:t>
            </w:r>
          </w:p>
        </w:tc>
        <w:tc>
          <w:tcPr/>
          <w:p>
            <w:pPr>
              <w:pStyle w:val="Compact"/>
              <w:jc w:val="left"/>
            </w:pPr>
            <w:r>
              <w:t xml:space="preserve">&amp;rub; 36,000</w:t>
            </w:r>
          </w:p>
        </w:tc>
        <w:tc>
          <w:tcPr/>
          <w:p>
            <w:pPr>
              <w:pStyle w:val="Compact"/>
              <w:jc w:val="left"/>
            </w:pPr>
            <w:r>
              <w:t xml:space="preserve">&amp;rub; 7,200</w:t>
            </w:r>
          </w:p>
        </w:tc>
      </w:tr>
      <w:tr>
        <w:tc>
          <w:tcPr/>
          <w:p>
            <w:pPr>
              <w:pStyle w:val="Compact"/>
              <w:jc w:val="left"/>
            </w:pPr>
            <w:r>
              <w:t xml:space="preserve">6</w:t>
            </w:r>
          </w:p>
        </w:tc>
        <w:tc>
          <w:tcPr/>
          <w:p>
            <w:pPr>
              <w:pStyle w:val="Compact"/>
              <w:jc w:val="left"/>
            </w:pPr>
            <w:r>
              <w:rPr>
                <w:bCs/>
                <w:b/>
              </w:rPr>
              <w:t xml:space="preserve">Travel &amp; Administrative Expenses:</w:t>
            </w:r>
            <w:r>
              <w:t xml:space="preserve"> </w:t>
            </w:r>
            <w:r>
              <w:t xml:space="preserve">Transportation within Saint Petersburg, access to the Saint Petersburg State Public Library legal archives, printing and binding of case files, and administrative support staff for the duration of the arbitration proceedings.</w:t>
            </w:r>
          </w:p>
        </w:tc>
        <w:tc>
          <w:tcPr/>
          <w:p>
            <w:pPr>
              <w:pStyle w:val="Compact"/>
              <w:jc w:val="left"/>
            </w:pPr>
            <w:r>
              <w:t xml:space="preserve">—</w:t>
            </w:r>
          </w:p>
        </w:tc>
        <w:tc>
          <w:tcPr/>
          <w:p>
            <w:pPr>
              <w:pStyle w:val="Compact"/>
              <w:jc w:val="left"/>
            </w:pPr>
            <w:r>
              <w:t xml:space="preserve">Flat</w:t>
            </w:r>
          </w:p>
        </w:tc>
        <w:tc>
          <w:tcPr/>
          <w:p>
            <w:pPr>
              <w:pStyle w:val="Compact"/>
              <w:jc w:val="left"/>
            </w:pPr>
            <w:r>
              <w:t xml:space="preserve">&amp;rub; 18,500</w:t>
            </w:r>
          </w:p>
        </w:tc>
        <w:tc>
          <w:tcPr/>
          <w:p>
            <w:pPr>
              <w:pStyle w:val="Compact"/>
              <w:jc w:val="left"/>
            </w:pPr>
            <w:r>
              <w:t xml:space="preserve">&amp;rub; 3,700</w:t>
            </w:r>
          </w:p>
        </w:tc>
      </w:tr>
    </w:tbl>
    <w:p>
      <w:pPr>
        <w:pStyle w:val="BodyText"/>
      </w:pPr>
      <w:r>
        <w:t xml:space="preserve">Subtotal (Excl. VAT):</w:t>
      </w:r>
      <w:r>
        <w:t xml:space="preserve">&amp;rub; 477,500.00</w:t>
      </w:r>
    </w:p>
    <w:p>
      <w:pPr>
        <w:pStyle w:val="BodyText"/>
      </w:pPr>
      <w:r>
        <w:t xml:space="preserve">VAT (20%):</w:t>
      </w:r>
      <w:r>
        <w:t xml:space="preserve">&amp;rub; 95,500.00</w:t>
      </w:r>
    </w:p>
    <w:p>
      <w:pPr>
        <w:pStyle w:val="BodyText"/>
      </w:pPr>
      <w:r>
        <w:t xml:space="preserve">TOTAL AMOUNT DUE:</w:t>
      </w:r>
      <w:r>
        <w:t xml:space="preserve">&amp;rub; 573,000.00</w:t>
      </w:r>
    </w:p>
    <w:p>
      <w:pPr>
        <w:pStyle w:val="BodyText"/>
      </w:pPr>
      <w:r>
        <w:t xml:space="preserve">(Five Hundred Seventy-Three Thousand Russian Rubles Only)</w:t>
      </w:r>
    </w:p>
    <w:bookmarkStart w:id="23" w:name="terms-conditions-legal-notes"/>
    <w:p>
      <w:pPr>
        <w:pStyle w:val="Heading3"/>
      </w:pPr>
      <w:r>
        <w:t xml:space="preserve">Terms, Conditions &amp; Legal Notes</w:t>
      </w:r>
    </w:p>
    <w:p>
      <w:pPr>
        <w:numPr>
          <w:ilvl w:val="0"/>
          <w:numId w:val="1001"/>
        </w:numPr>
        <w:pStyle w:val="Compact"/>
      </w:pPr>
      <w:r>
        <w:t xml:space="preserve">This Invoice is issued in accordance with the Tax Code of the Russian Federation (Part Two, Chapter 21 — Value Added Tax) and the Federal Law No. 402-FZ "On Accounting" dated 6 December 2011.</w:t>
      </w:r>
    </w:p>
    <w:p>
      <w:pPr>
        <w:numPr>
          <w:ilvl w:val="0"/>
          <w:numId w:val="1001"/>
        </w:numPr>
        <w:pStyle w:val="Compact"/>
      </w:pPr>
      <w:r>
        <w:t xml:space="preserve">The Judge's services are rendered under a professional engagement contract (Contract No. SPB-ARB-2025-112) dated 25 May 2025, executed in Saint Petersburg, Russia. A copy of the contract is available upon request.</w:t>
      </w:r>
    </w:p>
    <w:p>
      <w:pPr>
        <w:numPr>
          <w:ilvl w:val="0"/>
          <w:numId w:val="1001"/>
        </w:numPr>
        <w:pStyle w:val="Compact"/>
      </w:pPr>
      <w:r>
        <w:t xml:space="preserve">Payment is due within thirty (30) calendar days from the date of this Invoice. Late payments shall accrue interest at the rate of 0.05% per day in accordance with Article 395 of the Civil Code of the Russian Federation.</w:t>
      </w:r>
    </w:p>
    <w:p>
      <w:pPr>
        <w:numPr>
          <w:ilvl w:val="0"/>
          <w:numId w:val="1001"/>
        </w:numPr>
        <w:pStyle w:val="Compact"/>
      </w:pPr>
      <w:r>
        <w:t xml:space="preserve">All judicial proceedings referenced in this Invoice were conducted in the City of Saint Petersburg, Russian Federation, and are subject to the jurisdiction of the Saint Petersburg Arbitration Court. The Judge's award is enforceable in accordance with the New York Convention on the Recognition and Enforcement of Foreign Arbitral Awards (1958), to which Russia is a signatory.</w:t>
      </w:r>
    </w:p>
    <w:p>
      <w:pPr>
        <w:numPr>
          <w:ilvl w:val="0"/>
          <w:numId w:val="1001"/>
        </w:numPr>
        <w:pStyle w:val="Compact"/>
      </w:pPr>
      <w:r>
        <w:t xml:space="preserve">The Judge maintains strict professional independence and impartiality as required by the Federal Law "On Arbitration (Commercial Conciliation) in the Russian Federation" (No. 102-FZ, 24 July 2002). No conflict of interest exists between the Judge and either party to the dispute.</w:t>
      </w:r>
    </w:p>
    <w:p>
      <w:pPr>
        <w:numPr>
          <w:ilvl w:val="0"/>
          <w:numId w:val="1001"/>
        </w:numPr>
        <w:pStyle w:val="Compact"/>
      </w:pPr>
      <w:r>
        <w:t xml:space="preserve">This Invoice constitutes a primary accounting document (первичный учетный документ) and must be retained by the client for a minimum of five (5) years in compliance with Russian record-keeping regulations.</w:t>
      </w:r>
    </w:p>
    <w:p>
      <w:pPr>
        <w:numPr>
          <w:ilvl w:val="0"/>
          <w:numId w:val="1001"/>
        </w:numPr>
        <w:pStyle w:val="Compact"/>
      </w:pPr>
      <w:r>
        <w:t xml:space="preserve">For any disputes arising from this Invoice, the parties agree to resolve matters through the Arbitration Court of the City of Saint Petersburg, Russia. The applicable law is the law of the Russian Federation.</w:t>
      </w:r>
    </w:p>
    <w:p>
      <w:pPr>
        <w:numPr>
          <w:ilvl w:val="0"/>
          <w:numId w:val="1001"/>
        </w:numPr>
        <w:pStyle w:val="Compact"/>
      </w:pPr>
      <w:r>
        <w:t xml:space="preserve">The Judge's professional liability is covered by a professional indemnity insurance policy (Policy No. SPB-PI-2025-0034) issued by Ingosstrakh Insurance Company, Saint Petersburg branch.</w:t>
      </w:r>
    </w:p>
    <w:bookmarkEnd w:id="23"/>
    <w:p>
      <w:pPr>
        <w:pStyle w:val="FirstParagraph"/>
      </w:pPr>
      <w:r>
        <w:rPr>
          <w:bCs/>
          <w:b/>
        </w:rPr>
        <w:t xml:space="preserve">Prepared and Certified By:</w:t>
      </w:r>
    </w:p>
    <w:p>
      <w:pPr>
        <w:pStyle w:val="BodyText"/>
      </w:pPr>
      <w:r>
        <w:t xml:space="preserve">Hon. Dr. Alexander V. Petrov</w:t>
      </w:r>
    </w:p>
    <w:p>
      <w:pPr>
        <w:pStyle w:val="BodyText"/>
      </w:pPr>
      <w:r>
        <w:t xml:space="preserve">Independent Judicial Arbitrator</w:t>
      </w:r>
    </w:p>
    <w:p>
      <w:pPr>
        <w:pStyle w:val="BodyText"/>
      </w:pPr>
      <w:r>
        <w:t xml:space="preserve">Saint Petersburg, Russia</w:t>
      </w:r>
    </w:p>
    <w:p>
      <w:pPr>
        <w:pStyle w:val="BodyText"/>
      </w:pPr>
      <w:r>
        <w:t xml:space="preserve">Signature &amp; Seal</w:t>
      </w:r>
    </w:p>
    <w:p>
      <w:pPr>
        <w:pStyle w:val="BodyText"/>
      </w:pPr>
      <w:r>
        <w:t xml:space="preserve">Date: 14 June 2025</w:t>
      </w:r>
    </w:p>
    <w:p>
      <w:pPr>
        <w:pStyle w:val="BodyText"/>
      </w:pPr>
      <w:r>
        <w:rPr>
          <w:bCs/>
          <w:b/>
        </w:rPr>
        <w:t xml:space="preserve">Received and Acknowledged By:</w:t>
      </w:r>
    </w:p>
    <w:p>
      <w:pPr>
        <w:pStyle w:val="BodyText"/>
      </w:pPr>
      <w:r>
        <w:t xml:space="preserve">Ms. Irina S. Volkova</w:t>
      </w:r>
    </w:p>
    <w:p>
      <w:pPr>
        <w:pStyle w:val="BodyText"/>
      </w:pPr>
      <w:r>
        <w:t xml:space="preserve">General Counsel, LLC "Baltic Trade Partners"</w:t>
      </w:r>
    </w:p>
    <w:p>
      <w:pPr>
        <w:pStyle w:val="BodyText"/>
      </w:pPr>
      <w:r>
        <w:t xml:space="preserve">Saint Petersburg, Russia</w:t>
      </w:r>
    </w:p>
    <w:p>
      <w:pPr>
        <w:pStyle w:val="BodyText"/>
      </w:pPr>
      <w:r>
        <w:t xml:space="preserve">Signature</w:t>
      </w:r>
    </w:p>
    <w:p>
      <w:pPr>
        <w:pStyle w:val="BodyText"/>
      </w:pPr>
      <w:r>
        <w:t xml:space="preserve">Date: _______________</w:t>
      </w:r>
    </w:p>
    <w:p>
      <w:pPr>
        <w:pStyle w:val="BodyText"/>
      </w:pPr>
      <w:r>
        <w:rPr>
          <w:bCs/>
          <w:b/>
        </w:rPr>
        <w:t xml:space="preserve">Invoice SPB-JDG-2025-00487</w:t>
      </w:r>
      <w:r>
        <w:t xml:space="preserve"> </w:t>
      </w:r>
      <w:r>
        <w:t xml:space="preserve">— Judicial Services — Saint Petersburg, Russian Federation</w:t>
      </w:r>
    </w:p>
    <w:p>
      <w:pPr>
        <w:pStyle w:val="BodyText"/>
      </w:pPr>
      <w:r>
        <w:t xml:space="preserve">This document is a legally binding Invoice issued under the laws of the Russian Federation. It is valid without a stamp (печать) in accordance with Federal Law No. 82-FZ (2015) amending the Civil Code regarding the optional use of corporate seals.</w:t>
      </w:r>
    </w:p>
    <w:p>
      <w:pPr>
        <w:pStyle w:val="BodyText"/>
      </w:pPr>
      <w:r>
        <w:t xml:space="preserve">© 2025 Dr. A.V. Petrov, Judicial Arbitration Practice, Saint Petersburg, Russia.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Saint Petersburg, Russia</dc:title>
  <dc:creator/>
  <dc:language>en</dc:language>
  <cp:keywords/>
  <dcterms:created xsi:type="dcterms:W3CDTF">2026-10-10T09:51:32Z</dcterms:created>
  <dcterms:modified xsi:type="dcterms:W3CDTF">2026-10-10T09:51:32Z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