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p>
      <w:pPr>
        <w:pStyle w:val="FirstParagraph"/>
      </w:pPr>
      <w:r>
        <w:t xml:space="preserve">INVOICE</w:t>
      </w:r>
    </w:p>
    <w:p>
      <w:pPr>
        <w:pStyle w:val="BodyText"/>
      </w:pPr>
      <w:r>
        <w:t xml:space="preserve">Invoice No: JED-JDG-2025-04782</w:t>
      </w:r>
    </w:p>
    <w:p>
      <w:pPr>
        <w:pStyle w:val="BodyText"/>
      </w:pPr>
      <w:r>
        <w:t xml:space="preserve">JUDICIAL SERVICES</w:t>
      </w:r>
    </w:p>
    <w:bookmarkStart w:id="20" w:name="al-mizan-judicial-advisory-firm"/>
    <w:p>
      <w:pPr>
        <w:pStyle w:val="Heading2"/>
      </w:pPr>
      <w:r>
        <w:t xml:space="preserve">Al-Mizan Judicial Advisory Firm</w:t>
      </w:r>
    </w:p>
    <w:p>
      <w:pPr>
        <w:pStyle w:val="FirstParagraph"/>
      </w:pPr>
      <w:r>
        <w:t xml:space="preserve">King Fahd Road, Al-Shati District</w:t>
      </w:r>
    </w:p>
    <w:p>
      <w:pPr>
        <w:pStyle w:val="BodyText"/>
      </w:pPr>
      <w:r>
        <w:t xml:space="preserve">Jeddah 23412, Saudi Arabia</w:t>
      </w:r>
    </w:p>
    <w:p>
      <w:pPr>
        <w:pStyle w:val="BodyText"/>
      </w:pPr>
      <w:r>
        <w:t xml:space="preserve">Tel: +966 12 655 4820</w:t>
      </w:r>
    </w:p>
    <w:p>
      <w:pPr>
        <w:pStyle w:val="BodyText"/>
      </w:pPr>
      <w:r>
        <w:t xml:space="preserve">Email: billing@almizan-jeddah.sa</w:t>
      </w:r>
    </w:p>
    <w:p>
      <w:pPr>
        <w:pStyle w:val="BodyText"/>
      </w:pPr>
      <w:r>
        <w:t xml:space="preserve">VAT Registration: 310123456700003</w:t>
      </w:r>
    </w:p>
    <w:bookmarkEnd w:id="20"/>
    <w:bookmarkStart w:id="21" w:name="bill-to-client"/>
    <w:p>
      <w:pPr>
        <w:pStyle w:val="Heading3"/>
      </w:pPr>
      <w:r>
        <w:t xml:space="preserve">Bill To (Client)</w:t>
      </w:r>
    </w:p>
    <w:p>
      <w:pPr>
        <w:pStyle w:val="FirstParagraph"/>
      </w:pPr>
      <w:r>
        <w:rPr>
          <w:bCs/>
          <w:b/>
        </w:rPr>
        <w:t xml:space="preserve">Al-Rashid Commercial Trading Co.</w:t>
      </w:r>
    </w:p>
    <w:p>
      <w:pPr>
        <w:pStyle w:val="BodyText"/>
      </w:pPr>
      <w:r>
        <w:t xml:space="preserve">Attn: Mr. Khalid Al-Otaibi, General Counsel</w:t>
      </w:r>
    </w:p>
    <w:p>
      <w:pPr>
        <w:pStyle w:val="BodyText"/>
      </w:pPr>
      <w:r>
        <w:t xml:space="preserve">Prince Sultan Road, Al-Nuzha District</w:t>
      </w:r>
    </w:p>
    <w:p>
      <w:pPr>
        <w:pStyle w:val="BodyText"/>
      </w:pPr>
      <w:r>
        <w:t xml:space="preserve">Jeddah 23511, Saudi Arabia</w:t>
      </w:r>
    </w:p>
    <w:p>
      <w:pPr>
        <w:pStyle w:val="BodyText"/>
      </w:pPr>
      <w:r>
        <w:t xml:space="preserve">CR: 1010456789</w:t>
      </w:r>
    </w:p>
    <w:p>
      <w:pPr>
        <w:pStyle w:val="BodyText"/>
      </w:pPr>
      <w:r>
        <w:t xml:space="preserve">VAT No: 310987654300003</w:t>
      </w:r>
    </w:p>
    <w:bookmarkEnd w:id="21"/>
    <w:bookmarkStart w:id="22" w:name="service-provider-judge"/>
    <w:p>
      <w:pPr>
        <w:pStyle w:val="Heading3"/>
      </w:pPr>
      <w:r>
        <w:t xml:space="preserve">Service Provider (Judge)</w:t>
      </w:r>
    </w:p>
    <w:p>
      <w:pPr>
        <w:pStyle w:val="FirstParagraph"/>
      </w:pPr>
      <w:r>
        <w:rPr>
          <w:bCs/>
          <w:b/>
        </w:rPr>
        <w:t xml:space="preserve">Hon. Judge Abdullah Al-Harbi</w:t>
      </w:r>
    </w:p>
    <w:p>
      <w:pPr>
        <w:pStyle w:val="BodyText"/>
      </w:pPr>
      <w:r>
        <w:t xml:space="preserve">Retired Judge, Court of First Instance</w:t>
      </w:r>
    </w:p>
    <w:p>
      <w:pPr>
        <w:pStyle w:val="BodyText"/>
      </w:pPr>
      <w:r>
        <w:t xml:space="preserve">Jeddah Judicial District, Saudi Arabia</w:t>
      </w:r>
    </w:p>
    <w:p>
      <w:pPr>
        <w:pStyle w:val="BodyText"/>
      </w:pPr>
      <w:r>
        <w:t xml:space="preserve">License No: JUD-JED-2019-0034</w:t>
      </w:r>
    </w:p>
    <w:p>
      <w:pPr>
        <w:pStyle w:val="BodyText"/>
      </w:pPr>
      <w:r>
        <w:t xml:space="preserve">Specialization: Commercial &amp; Civil Law</w:t>
      </w:r>
    </w:p>
    <w:bookmarkEnd w:id="22"/>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Service Period:</w:t>
      </w:r>
      <w:r>
        <w:t xml:space="preserve"> </w:t>
      </w:r>
      <w:r>
        <w:t xml:space="preserve">1 March 2025 – 31 May 2025</w:t>
      </w:r>
    </w:p>
    <w:p>
      <w:pPr>
        <w:pStyle w:val="BodyText"/>
      </w:pPr>
      <w:r>
        <w:t xml:space="preserve">Currency:</w:t>
      </w:r>
      <w:r>
        <w:t xml:space="preserve"> </w:t>
      </w:r>
      <w:r>
        <w:t xml:space="preserve">SAR (Saudi Riyal)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Judge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Pre-trial judicial consultation and case assessment for commercial dispute (Case No. 4521/2025) before the Jeddah Commercial Court</w:t>
            </w:r>
          </w:p>
        </w:tc>
        <w:tc>
          <w:tcPr/>
          <w:p>
            <w:pPr>
              <w:pStyle w:val="Compact"/>
              <w:jc w:val="left"/>
            </w:pPr>
            <w:r>
              <w:t xml:space="preserve">05 Mar 2025</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Formal judicial opinion and legal memorandum regarding contract interpretation under Saudi Civil Transactions Law</w:t>
            </w:r>
          </w:p>
        </w:tc>
        <w:tc>
          <w:tcPr/>
          <w:p>
            <w:pPr>
              <w:pStyle w:val="Compact"/>
              <w:jc w:val="left"/>
            </w:pPr>
            <w:r>
              <w:t xml:space="preserve">12 Mar 2025</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Attendance and advisory representation at mediation session, Jeddah Mediation Center, Al-Shati District</w:t>
            </w:r>
          </w:p>
        </w:tc>
        <w:tc>
          <w:tcPr/>
          <w:p>
            <w:pPr>
              <w:pStyle w:val="Compact"/>
              <w:jc w:val="left"/>
            </w:pPr>
            <w:r>
              <w:t xml:space="preserve">28 Mar 2025</w:t>
            </w:r>
          </w:p>
        </w:tc>
        <w:tc>
          <w:tcPr/>
          <w:p>
            <w:pPr>
              <w:pStyle w:val="Compact"/>
              <w:jc w:val="left"/>
            </w:pPr>
            <w:r>
              <w:t xml:space="preserve">3.5</w:t>
            </w:r>
          </w:p>
        </w:tc>
        <w:tc>
          <w:tcPr/>
          <w:p>
            <w:pPr>
              <w:pStyle w:val="Compact"/>
              <w:jc w:val="left"/>
            </w:pPr>
            <w:r>
              <w:t xml:space="preserve">1,500.00</w:t>
            </w:r>
          </w:p>
        </w:tc>
        <w:tc>
          <w:tcPr/>
          <w:p>
            <w:pPr>
              <w:pStyle w:val="Compact"/>
              <w:jc w:val="left"/>
            </w:pPr>
            <w:r>
              <w:t xml:space="preserve">5,250.00</w:t>
            </w:r>
          </w:p>
        </w:tc>
      </w:tr>
      <w:tr>
        <w:tc>
          <w:tcPr/>
          <w:p>
            <w:pPr>
              <w:pStyle w:val="Compact"/>
              <w:jc w:val="left"/>
            </w:pPr>
            <w:r>
              <w:t xml:space="preserve">4</w:t>
            </w:r>
          </w:p>
        </w:tc>
        <w:tc>
          <w:tcPr/>
          <w:p>
            <w:pPr>
              <w:pStyle w:val="Compact"/>
              <w:jc w:val="left"/>
            </w:pPr>
            <w:r>
              <w:t xml:space="preserve">Drafting of judicial settlement agreement and review of evidentiary documents for submission to the Jeddah Court of First Instance</w:t>
            </w:r>
          </w:p>
        </w:tc>
        <w:tc>
          <w:tcPr/>
          <w:p>
            <w:pPr>
              <w:pStyle w:val="Compact"/>
              <w:jc w:val="left"/>
            </w:pPr>
            <w:r>
              <w:t xml:space="preserve">15 Apr 2025</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Post-judgment advisory session: interpretation of court ruling and guidance on enforcement procedures within Saudi Arabia</w:t>
            </w:r>
          </w:p>
        </w:tc>
        <w:tc>
          <w:tcPr/>
          <w:p>
            <w:pPr>
              <w:pStyle w:val="Compact"/>
              <w:jc w:val="left"/>
            </w:pPr>
            <w:r>
              <w:t xml:space="preserve">02 May 2025</w:t>
            </w:r>
          </w:p>
        </w:tc>
        <w:tc>
          <w:tcPr/>
          <w:p>
            <w:pPr>
              <w:pStyle w:val="Compact"/>
              <w:jc w:val="left"/>
            </w:pPr>
            <w:r>
              <w:t xml:space="preserve">3.0</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Expert judicial testimony preparation and witness statement review for appellate proceedings, Jeddah Court of Appeal</w:t>
            </w:r>
          </w:p>
        </w:tc>
        <w:tc>
          <w:tcPr/>
          <w:p>
            <w:pPr>
              <w:pStyle w:val="Compact"/>
              <w:jc w:val="left"/>
            </w:pPr>
            <w:r>
              <w:t xml:space="preserve">20 May 2025</w:t>
            </w:r>
          </w:p>
        </w:tc>
        <w:tc>
          <w:tcPr/>
          <w:p>
            <w:pPr>
              <w:pStyle w:val="Compact"/>
              <w:jc w:val="left"/>
            </w:pPr>
            <w:r>
              <w:t xml:space="preserve">5.0</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Comprehensive quarterly legal risk assessment report for client operations in Jeddah, Saudi Arabia</w:t>
            </w:r>
          </w:p>
        </w:tc>
        <w:tc>
          <w:tcPr/>
          <w:p>
            <w:pPr>
              <w:pStyle w:val="Compact"/>
              <w:jc w:val="left"/>
            </w:pPr>
            <w:r>
              <w:t xml:space="preserve">31 May 2025</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45,150.00 SAR</w:t>
            </w:r>
          </w:p>
        </w:tc>
      </w:tr>
      <w:tr>
        <w:tc>
          <w:tcPr/>
          <w:p>
            <w:pPr>
              <w:pStyle w:val="Compact"/>
              <w:jc w:val="left"/>
            </w:pPr>
            <w:r>
              <w:t xml:space="preserve">VAT (15%) – Saudi Arabia</w:t>
            </w:r>
          </w:p>
        </w:tc>
        <w:tc>
          <w:tcPr/>
          <w:p>
            <w:pPr>
              <w:pStyle w:val="Compact"/>
              <w:jc w:val="left"/>
            </w:pPr>
            <w:r>
              <w:t xml:space="preserve">6,772.50 SAR</w:t>
            </w:r>
          </w:p>
        </w:tc>
      </w:tr>
      <w:tr>
        <w:tc>
          <w:tcPr/>
          <w:p>
            <w:pPr>
              <w:pStyle w:val="Compact"/>
              <w:jc w:val="left"/>
            </w:pPr>
            <w:r>
              <w:t xml:space="preserve">Discount (Loyal Client – 5%)</w:t>
            </w:r>
          </w:p>
        </w:tc>
        <w:tc>
          <w:tcPr/>
          <w:p>
            <w:pPr>
              <w:pStyle w:val="Compact"/>
              <w:jc w:val="left"/>
            </w:pPr>
            <w:r>
              <w:t xml:space="preserve">(2,257.50) SAR</w:t>
            </w:r>
          </w:p>
        </w:tc>
      </w:tr>
      <w:tr>
        <w:tc>
          <w:tcPr/>
          <w:p>
            <w:pPr>
              <w:pStyle w:val="Compact"/>
              <w:jc w:val="left"/>
            </w:pPr>
            <w:r>
              <w:t xml:space="preserve">Grand Total Due</w:t>
            </w:r>
          </w:p>
        </w:tc>
        <w:tc>
          <w:tcPr/>
          <w:p>
            <w:pPr>
              <w:pStyle w:val="Compact"/>
              <w:jc w:val="left"/>
            </w:pPr>
            <w:r>
              <w:t xml:space="preserve">49,665.00 SAR</w:t>
            </w:r>
          </w:p>
        </w:tc>
      </w:tr>
    </w:tbl>
    <w:p>
      <w:pPr>
        <w:pStyle w:val="BodyText"/>
      </w:pPr>
      <w:r>
        <w:t xml:space="preserve">* All amounts are in Saudi Riyals (SAR). VAT is applied in accordance with the Zakat, Tax and Customs Authority (ZATCA) regulations of Saudi Arabia.</w:t>
      </w:r>
    </w:p>
    <w:bookmarkStart w:id="23" w:name="terms-conditions-payment-instructions"/>
    <w:p>
      <w:pPr>
        <w:pStyle w:val="Heading3"/>
      </w:pPr>
      <w:r>
        <w:t xml:space="preserve">Terms, Conditions &amp; Payment Instructions</w:t>
      </w:r>
    </w:p>
    <w:p>
      <w:pPr>
        <w:pStyle w:val="FirstParagraph"/>
      </w:pPr>
      <w:r>
        <w:rPr>
          <w:bCs/>
          <w:b/>
        </w:rPr>
        <w:t xml:space="preserve">1.</w:t>
      </w:r>
      <w:r>
        <w:t xml:space="preserve"> </w:t>
      </w:r>
      <w:r>
        <w:t xml:space="preserve">This invoice is issued for professional judicial services rendered by Hon. Judge Abdullah Al-Harbi in the capacity of a retired judge and legal advisor, operating under the regulatory framework of the Saudi Arabian Ministry of Justice. All services were performed in Jeddah, Saudi Arabia, in compliance with local judicial and professional conduct standards.</w:t>
      </w:r>
    </w:p>
    <w:p>
      <w:pPr>
        <w:pStyle w:val="BodyText"/>
      </w:pPr>
      <w:r>
        <w:rPr>
          <w:bCs/>
          <w:b/>
        </w:rPr>
        <w:t xml:space="preserve">2.</w:t>
      </w:r>
      <w:r>
        <w:t xml:space="preserve"> </w:t>
      </w:r>
      <w:r>
        <w:t xml:space="preserve">Payment is due within fourteen (14) calendar days from the invoice date. Late payments shall incur a penalty of 2% per month as stipulated under Saudi commercial law.</w:t>
      </w:r>
    </w:p>
    <w:p>
      <w:pPr>
        <w:pStyle w:val="BodyText"/>
      </w:pPr>
      <w:r>
        <w:rPr>
          <w:bCs/>
          <w:b/>
        </w:rPr>
        <w:t xml:space="preserve">3.</w:t>
      </w:r>
      <w:r>
        <w:t xml:space="preserve"> </w:t>
      </w:r>
      <w:r>
        <w:t xml:space="preserve">Payment shall be made via bank transfer to: Al-Mizan Judicial Advisory Firm, Bank: Saudi National Bank (SNB), IBAN: SA03 8000 0000 6080 1016 7519, Jeddah Branch.</w:t>
      </w:r>
    </w:p>
    <w:p>
      <w:pPr>
        <w:pStyle w:val="BodyText"/>
      </w:pPr>
      <w:r>
        <w:rPr>
          <w:bCs/>
          <w:b/>
        </w:rPr>
        <w:t xml:space="preserve">4.</w:t>
      </w:r>
      <w:r>
        <w:t xml:space="preserve"> </w:t>
      </w:r>
      <w:r>
        <w:t xml:space="preserve">All judicial opinions, memoranda, and advisory documents prepared by the Judge remain the intellectual property of the service provider. The client is granted a non-transferable license to use these documents solely for the purpose of the referenced legal proceedings in Jeddah, Saudi Arabia.</w:t>
      </w:r>
    </w:p>
    <w:p>
      <w:pPr>
        <w:pStyle w:val="BodyText"/>
      </w:pPr>
      <w:r>
        <w:rPr>
          <w:bCs/>
          <w:b/>
        </w:rPr>
        <w:t xml:space="preserve">5.</w:t>
      </w:r>
      <w:r>
        <w:t xml:space="preserve"> </w:t>
      </w:r>
      <w:r>
        <w:t xml:space="preserve">This invoice is valid for ninety (90) days from the date of issue. Any disputes arising from this invoice shall be subject to the exclusive jurisdiction of the courts of Jeddah, Saudi Arabia, in accordance with the Saudi Arbitration and Dispute Resolution Law.</w:t>
      </w:r>
    </w:p>
    <w:p>
      <w:pPr>
        <w:pStyle w:val="BodyText"/>
      </w:pPr>
      <w:r>
        <w:rPr>
          <w:bCs/>
          <w:b/>
        </w:rPr>
        <w:t xml:space="preserve">6.</w:t>
      </w:r>
      <w:r>
        <w:t xml:space="preserve"> </w:t>
      </w:r>
      <w:r>
        <w:t xml:space="preserve">The Judge reserves the right to decline further engagement if a conflict of interest arises under the Saudi Code of Judicial Ethics. All services are provided on a strictly confidential basis.</w:t>
      </w:r>
    </w:p>
    <w:bookmarkEnd w:id="23"/>
    <w:p>
      <w:pPr>
        <w:pStyle w:val="BodyText"/>
      </w:pPr>
      <w:r>
        <w:rPr>
          <w:bCs/>
          <w:b/>
        </w:rPr>
        <w:t xml:space="preserve">Al-Mizan Judicial Advisory Firm</w:t>
      </w:r>
      <w:r>
        <w:t xml:space="preserve"> </w:t>
      </w:r>
      <w:r>
        <w:t xml:space="preserve">| King Fahd Road, Al-Shati District, Jeddah 23412, Saudi Arabia</w:t>
      </w:r>
    </w:p>
    <w:p>
      <w:pPr>
        <w:pStyle w:val="BodyText"/>
      </w:pPr>
      <w:r>
        <w:t xml:space="preserve">Commercial Registration: 1010123456 | VAT: 310123456700003 | ZATCA Compliant</w:t>
      </w:r>
    </w:p>
    <w:p>
      <w:pPr>
        <w:pStyle w:val="BodyText"/>
      </w:pPr>
      <w:r>
        <w:t xml:space="preserve">This is a computer-generated invoice and does not require a physical signature. For verification, contact billing@almizan-jeddah.sa or call +966 12 655 4820.</w:t>
      </w:r>
    </w:p>
    <w:p>
      <w:pPr>
        <w:pStyle w:val="BodyText"/>
      </w:pPr>
      <w:r>
        <w:t xml:space="preserve">© 2025 Al-Mizan Judicial Advisory Firm –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Jeddah, Saudi Arabia</dc:title>
  <dc:creator/>
  <dc:language>en</dc:language>
  <cp:keywords/>
  <dcterms:created xsi:type="dcterms:W3CDTF">2026-10-10T06:29:54Z</dcterms:created>
  <dcterms:modified xsi:type="dcterms:W3CDTF">2026-10-10T06:29:54Z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